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60F6D" w14:textId="5A2FFB99" w:rsidR="009A1AB9" w:rsidRPr="000B2D18" w:rsidRDefault="004C2765" w:rsidP="009A1AB9">
      <w:pPr>
        <w:pStyle w:val="Heading1"/>
        <w:rPr>
          <w:color w:val="7A0306"/>
        </w:rPr>
      </w:pPr>
      <w:bookmarkStart w:id="0" w:name="_GoBack"/>
      <w:bookmarkEnd w:id="0"/>
      <w:r w:rsidRPr="000B2D18">
        <w:rPr>
          <w:color w:val="7A0306"/>
        </w:rPr>
        <w:t>Liste de vérification de l’offrant</w:t>
      </w:r>
    </w:p>
    <w:p w14:paraId="243B6292" w14:textId="3E131592" w:rsidR="006C33E0" w:rsidRPr="001E419D" w:rsidRDefault="009A1AB9" w:rsidP="009A1AB9">
      <w:pPr>
        <w:pStyle w:val="Heading2"/>
      </w:pPr>
      <w:r w:rsidRPr="001E419D">
        <w:t>Présentation en réponse à un avis de demande</w:t>
      </w:r>
    </w:p>
    <w:p w14:paraId="03543097" w14:textId="57E941EF" w:rsidR="006C33E0" w:rsidRPr="009A1AB9" w:rsidRDefault="001E419D" w:rsidP="009A1AB9">
      <w:r w:rsidRPr="009A1AB9">
        <w:t>La présen</w:t>
      </w:r>
      <w:r w:rsidR="000C4416" w:rsidRPr="009A1AB9">
        <w:t>tation complète d’une offre/opposition consiste en un document qui contient tous les renseignements nécessaires (y compris tous les documents de soutien), et la Liste de vérification de l’offrant remplie.</w:t>
      </w:r>
    </w:p>
    <w:p w14:paraId="4B2174D8" w14:textId="5AAF6E01" w:rsidR="006C33E0" w:rsidRPr="000C4416" w:rsidRDefault="000C4416" w:rsidP="009A1AB9">
      <w:pPr>
        <w:rPr>
          <w:b/>
          <w:u w:val="single"/>
        </w:rPr>
      </w:pPr>
      <w:r w:rsidRPr="000C4416">
        <w:t xml:space="preserve">Le tout doit être envoyé par courriel </w:t>
      </w:r>
      <w:r w:rsidRPr="000C4416">
        <w:rPr>
          <w:b/>
        </w:rPr>
        <w:t>simultanément</w:t>
      </w:r>
      <w:r w:rsidRPr="000C4416">
        <w:t xml:space="preserve"> à l’Office</w:t>
      </w:r>
      <w:r>
        <w:t xml:space="preserve"> </w:t>
      </w:r>
      <w:r w:rsidRPr="000C4416">
        <w:t>(</w:t>
      </w:r>
      <w:hyperlink r:id="rId8" w:history="1">
        <w:r w:rsidRPr="000C4416">
          <w:rPr>
            <w:color w:val="0000FF"/>
            <w:u w:val="single"/>
          </w:rPr>
          <w:t>secretariat@otc-cta.gc.ca</w:t>
        </w:r>
      </w:hyperlink>
      <w:r w:rsidRPr="000C4416">
        <w:t xml:space="preserve">) </w:t>
      </w:r>
      <w:r w:rsidRPr="000C4416">
        <w:rPr>
          <w:b/>
        </w:rPr>
        <w:t>et au demandeur</w:t>
      </w:r>
      <w:r w:rsidRPr="000C4416">
        <w:t>.</w:t>
      </w:r>
    </w:p>
    <w:p w14:paraId="2084DF44" w14:textId="0A140609" w:rsidR="000C4416" w:rsidRPr="000C4416" w:rsidRDefault="000C4416" w:rsidP="009A1AB9">
      <w:r w:rsidRPr="000C4416">
        <w:t xml:space="preserve">Veuillez noter que toute opposition </w:t>
      </w:r>
      <w:r w:rsidRPr="003F393E">
        <w:rPr>
          <w:b/>
        </w:rPr>
        <w:t>doit</w:t>
      </w:r>
      <w:r w:rsidRPr="000C4416">
        <w:t xml:space="preserve"> comprendre l’offre d’un navire. </w:t>
      </w:r>
      <w:r>
        <w:t xml:space="preserve">Si l’opposition ne comprend pas d’offre, les actes de procédure ne seront pas initiés et la demande à laquelle vous vous opposez sera considérée comme n’étant pas contestée. </w:t>
      </w:r>
    </w:p>
    <w:p w14:paraId="6EDA0607" w14:textId="6FA8AF95" w:rsidR="006C33E0" w:rsidRPr="009A1AB9" w:rsidRDefault="003F393E" w:rsidP="009A1AB9">
      <w:r w:rsidRPr="009A1AB9">
        <w:t>Veuillez indiquer votre intention en cochant l’une des cases suivantes (obligatoire) :</w:t>
      </w:r>
    </w:p>
    <w:p w14:paraId="354B87E6" w14:textId="3D78BA62" w:rsidR="006C33E0" w:rsidRPr="00CB21EB" w:rsidRDefault="00646411" w:rsidP="009A1AB9">
      <w:pPr>
        <w:ind w:left="1080" w:hanging="360"/>
      </w:pPr>
      <w:sdt>
        <w:sdtPr>
          <w:id w:val="-871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5" w:rsidRPr="00CB21EB">
            <w:rPr>
              <w:rFonts w:ascii="Segoe UI Symbol" w:hAnsi="Segoe UI Symbol" w:cs="Segoe UI Symbol"/>
            </w:rPr>
            <w:t>☐</w:t>
          </w:r>
        </w:sdtContent>
      </w:sdt>
      <w:r w:rsidR="00D46345" w:rsidRPr="00CB21EB">
        <w:t xml:space="preserve">  </w:t>
      </w:r>
      <w:r w:rsidR="003F393E" w:rsidRPr="00CB21EB">
        <w:t>Vous opposez-vous en offrant un navire?</w:t>
      </w:r>
    </w:p>
    <w:p w14:paraId="3357BE7F" w14:textId="11A93B01" w:rsidR="006C33E0" w:rsidRPr="00CB21EB" w:rsidRDefault="00646411" w:rsidP="009A1AB9">
      <w:pPr>
        <w:ind w:left="1080" w:hanging="360"/>
      </w:pPr>
      <w:sdt>
        <w:sdtPr>
          <w:id w:val="-6836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5" w:rsidRPr="00CB21EB">
            <w:rPr>
              <w:rFonts w:ascii="Segoe UI Symbol" w:hAnsi="Segoe UI Symbol" w:cs="Segoe UI Symbol"/>
            </w:rPr>
            <w:t>☐</w:t>
          </w:r>
        </w:sdtContent>
      </w:sdt>
      <w:r w:rsidR="00D46345" w:rsidRPr="00CB21EB">
        <w:t xml:space="preserve">  </w:t>
      </w:r>
      <w:r w:rsidR="00D348AA">
        <w:t>Vous oppose</w:t>
      </w:r>
      <w:r w:rsidR="00CB21EB" w:rsidRPr="00CB21EB">
        <w:t>z</w:t>
      </w:r>
      <w:r w:rsidR="00D348AA">
        <w:t>-</w:t>
      </w:r>
      <w:r w:rsidR="00CB21EB" w:rsidRPr="00CB21EB">
        <w:t>vous sans offrir de navire?</w:t>
      </w:r>
    </w:p>
    <w:p w14:paraId="02401100" w14:textId="1AA96AB2" w:rsidR="006C33E0" w:rsidRPr="00CB21EB" w:rsidRDefault="00646411" w:rsidP="009A1AB9">
      <w:pPr>
        <w:ind w:left="1080" w:hanging="360"/>
        <w:rPr>
          <w:b/>
        </w:rPr>
      </w:pPr>
      <w:sdt>
        <w:sdtPr>
          <w:id w:val="55782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AB9">
            <w:rPr>
              <w:rFonts w:ascii="MS Gothic" w:eastAsia="MS Gothic" w:hAnsi="MS Gothic" w:hint="eastAsia"/>
            </w:rPr>
            <w:t>☐</w:t>
          </w:r>
        </w:sdtContent>
      </w:sdt>
      <w:r w:rsidR="00D46345" w:rsidRPr="00CB21EB">
        <w:t xml:space="preserve">  </w:t>
      </w:r>
      <w:r w:rsidR="00CB21EB" w:rsidRPr="00CB21EB">
        <w:t>Déposez-vous, en tant que personne intéressée, des commentaires, des avis ou de</w:t>
      </w:r>
      <w:r w:rsidR="00CB21EB">
        <w:t>s lettres de soutien</w:t>
      </w:r>
      <w:r w:rsidR="00D46345" w:rsidRPr="00CB21EB">
        <w:t xml:space="preserve">? </w:t>
      </w:r>
    </w:p>
    <w:p w14:paraId="6B130033" w14:textId="3007250C" w:rsidR="006C33E0" w:rsidRPr="009A1AB9" w:rsidRDefault="009A1AB9" w:rsidP="009A1AB9">
      <w:pPr>
        <w:pStyle w:val="Heading2"/>
      </w:pPr>
      <w:r w:rsidRPr="009A1AB9">
        <w:t>Renseignements nécessaires pour une opposition avec offre d’un navire</w:t>
      </w:r>
    </w:p>
    <w:p w14:paraId="1A6A1194" w14:textId="193C2B0E" w:rsidR="006C33E0" w:rsidRPr="00191153" w:rsidRDefault="00CB21EB" w:rsidP="009A1AB9">
      <w:r w:rsidRPr="00191153">
        <w:t>En cochant la case à côté de chaque exigence, la</w:t>
      </w:r>
      <w:r w:rsidR="00191153" w:rsidRPr="00191153">
        <w:t xml:space="preserve"> personne intéressée confirme que sa présentation comprend les renseignements indiqués, et qu’elle a un navire à offrir. </w:t>
      </w:r>
      <w:r w:rsidR="00191153">
        <w:t xml:space="preserve">Toutes les offres d’un navire </w:t>
      </w:r>
      <w:r w:rsidR="00EB5E2F" w:rsidRPr="009A1AB9">
        <w:rPr>
          <w:b/>
        </w:rPr>
        <w:t>doivent</w:t>
      </w:r>
      <w:r w:rsidR="00EB5E2F">
        <w:t xml:space="preserve"> être déposées </w:t>
      </w:r>
      <w:r w:rsidR="00EB5E2F" w:rsidRPr="009A1AB9">
        <w:rPr>
          <w:b/>
        </w:rPr>
        <w:t>avant la date limite de présentation des offres</w:t>
      </w:r>
      <w:r w:rsidR="00EB5E2F">
        <w:t xml:space="preserve"> et </w:t>
      </w:r>
      <w:r w:rsidR="00EB5E2F" w:rsidRPr="009A1AB9">
        <w:rPr>
          <w:b/>
        </w:rPr>
        <w:t>doivent</w:t>
      </w:r>
      <w:r w:rsidR="00EB5E2F">
        <w:t xml:space="preserve"> inclure :</w:t>
      </w:r>
    </w:p>
    <w:p w14:paraId="2A800B40" w14:textId="1A0B47EE" w:rsidR="009A1AB9" w:rsidRDefault="00646411" w:rsidP="009A1AB9">
      <w:pPr>
        <w:ind w:left="1080" w:hanging="360"/>
      </w:pPr>
      <w:sdt>
        <w:sdtPr>
          <w:id w:val="117207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AB9">
            <w:rPr>
              <w:rFonts w:ascii="MS Gothic" w:eastAsia="MS Gothic" w:hAnsi="MS Gothic" w:hint="eastAsia"/>
            </w:rPr>
            <w:t>☐</w:t>
          </w:r>
        </w:sdtContent>
      </w:sdt>
      <w:r w:rsidR="00526743" w:rsidRPr="006E6D2B">
        <w:t xml:space="preserve"> </w:t>
      </w:r>
      <w:r w:rsidR="009A1AB9">
        <w:t xml:space="preserve"> </w:t>
      </w:r>
      <w:r w:rsidR="006E6D2B" w:rsidRPr="006E6D2B">
        <w:t>Le nom du ou des navire(s) offert(s) avant la première d</w:t>
      </w:r>
      <w:r w:rsidR="00FC725A">
        <w:t>ate limite indiquée dans l’Avis</w:t>
      </w:r>
      <w:r w:rsidR="009A1AB9">
        <w:t>.</w:t>
      </w:r>
    </w:p>
    <w:p w14:paraId="0B92E919" w14:textId="3A84FFE6" w:rsidR="006C33E0" w:rsidRPr="006E6D2B" w:rsidRDefault="00646411" w:rsidP="009A1AB9">
      <w:pPr>
        <w:ind w:left="1080" w:hanging="360"/>
      </w:pPr>
      <w:sdt>
        <w:sdtPr>
          <w:id w:val="-127648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AB9">
            <w:rPr>
              <w:rFonts w:ascii="MS Gothic" w:eastAsia="MS Gothic" w:hAnsi="MS Gothic" w:hint="eastAsia"/>
            </w:rPr>
            <w:t>☐</w:t>
          </w:r>
        </w:sdtContent>
      </w:sdt>
      <w:r w:rsidR="00526743" w:rsidRPr="006E6D2B">
        <w:t xml:space="preserve"> </w:t>
      </w:r>
      <w:r w:rsidR="009A1AB9">
        <w:t xml:space="preserve"> </w:t>
      </w:r>
      <w:r w:rsidR="006E6D2B" w:rsidRPr="006E6D2B">
        <w:t>Le nombre de navires offert(s) avant la première d</w:t>
      </w:r>
      <w:r w:rsidR="00FC725A">
        <w:t>ate limite indiquée dans l’Avis</w:t>
      </w:r>
    </w:p>
    <w:p w14:paraId="48ED55ED" w14:textId="36C7A63B" w:rsidR="006C33E0" w:rsidRPr="006E6D2B" w:rsidRDefault="00646411" w:rsidP="009A1AB9">
      <w:pPr>
        <w:ind w:left="1080" w:hanging="360"/>
      </w:pPr>
      <w:sdt>
        <w:sdtPr>
          <w:id w:val="-148947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4E" w:rsidRPr="006E6D2B">
            <w:rPr>
              <w:rFonts w:ascii="Segoe UI Symbol" w:hAnsi="Segoe UI Symbol" w:cs="Segoe UI Symbol"/>
            </w:rPr>
            <w:t>☐</w:t>
          </w:r>
        </w:sdtContent>
      </w:sdt>
      <w:r w:rsidR="00A1734E" w:rsidRPr="006E6D2B">
        <w:t xml:space="preserve"> </w:t>
      </w:r>
      <w:r w:rsidR="009A1AB9">
        <w:t xml:space="preserve"> </w:t>
      </w:r>
      <w:r w:rsidR="006E6D2B" w:rsidRPr="006E6D2B">
        <w:t xml:space="preserve">La date à laquelle le demandeur </w:t>
      </w:r>
      <w:r w:rsidR="006E6D2B">
        <w:t>a</w:t>
      </w:r>
      <w:r w:rsidR="006E6D2B" w:rsidRPr="006E6D2B">
        <w:t xml:space="preserve"> communiqu</w:t>
      </w:r>
      <w:r w:rsidR="006E6D2B">
        <w:t>é</w:t>
      </w:r>
      <w:r w:rsidR="006E6D2B" w:rsidRPr="006E6D2B">
        <w:t xml:space="preserve"> avec l’offrant </w:t>
      </w:r>
      <w:r w:rsidR="006E6D2B">
        <w:t>et le résultat de cette</w:t>
      </w:r>
      <w:r w:rsidR="00FC725A">
        <w:t xml:space="preserve"> communication, le cas échéant</w:t>
      </w:r>
      <w:r w:rsidR="009A1AB9">
        <w:t>.</w:t>
      </w:r>
    </w:p>
    <w:p w14:paraId="6B3F6484" w14:textId="5FDB5C1A" w:rsidR="006C33E0" w:rsidRPr="006E6D2B" w:rsidRDefault="00646411" w:rsidP="009A1AB9">
      <w:pPr>
        <w:ind w:left="1080" w:hanging="360"/>
      </w:pPr>
      <w:sdt>
        <w:sdtPr>
          <w:id w:val="19306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4E" w:rsidRPr="006E6D2B">
            <w:rPr>
              <w:rFonts w:ascii="Segoe UI Symbol" w:hAnsi="Segoe UI Symbol" w:cs="Segoe UI Symbol"/>
            </w:rPr>
            <w:t>☐</w:t>
          </w:r>
        </w:sdtContent>
      </w:sdt>
      <w:r w:rsidR="00A1734E" w:rsidRPr="006E6D2B">
        <w:t xml:space="preserve"> </w:t>
      </w:r>
      <w:r w:rsidR="009A1AB9">
        <w:t xml:space="preserve"> </w:t>
      </w:r>
      <w:r w:rsidR="006E6D2B" w:rsidRPr="006E6D2B">
        <w:t xml:space="preserve">Description et spécifications du navire offert (p. ex. </w:t>
      </w:r>
      <w:r w:rsidR="006E6D2B">
        <w:t>l</w:t>
      </w:r>
      <w:r w:rsidR="006E6D2B" w:rsidRPr="006E6D2B">
        <w:t xml:space="preserve">e </w:t>
      </w:r>
      <w:r w:rsidR="006E6D2B">
        <w:t>type, la taille, les</w:t>
      </w:r>
      <w:r w:rsidR="006E6D2B" w:rsidRPr="006E6D2B">
        <w:t xml:space="preserve"> capacité</w:t>
      </w:r>
      <w:r w:rsidR="006E6D2B">
        <w:t>s</w:t>
      </w:r>
      <w:r w:rsidR="006E6D2B" w:rsidRPr="006E6D2B">
        <w:t xml:space="preserve">, </w:t>
      </w:r>
      <w:r w:rsidR="006E6D2B">
        <w:t>l’équipement de bord)</w:t>
      </w:r>
      <w:r w:rsidR="009A1AB9">
        <w:t>.</w:t>
      </w:r>
    </w:p>
    <w:p w14:paraId="5C1EB365" w14:textId="3CF4FB2E" w:rsidR="006C33E0" w:rsidRPr="006E6D2B" w:rsidRDefault="00646411" w:rsidP="009A1AB9">
      <w:pPr>
        <w:ind w:left="1080" w:hanging="360"/>
      </w:pPr>
      <w:sdt>
        <w:sdtPr>
          <w:id w:val="165518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4E" w:rsidRPr="006E6D2B">
            <w:rPr>
              <w:rFonts w:ascii="Segoe UI Symbol" w:hAnsi="Segoe UI Symbol" w:cs="Segoe UI Symbol"/>
            </w:rPr>
            <w:t>☐</w:t>
          </w:r>
        </w:sdtContent>
      </w:sdt>
      <w:r w:rsidR="00A1734E" w:rsidRPr="006E6D2B">
        <w:t xml:space="preserve"> </w:t>
      </w:r>
      <w:r w:rsidR="009A1AB9">
        <w:t xml:space="preserve"> </w:t>
      </w:r>
      <w:r w:rsidR="00FC725A">
        <w:t>T</w:t>
      </w:r>
      <w:r w:rsidR="006E6D2B" w:rsidRPr="006E6D2B">
        <w:t>oute autre information pertinente justifiant l'offre faite en réponse directe aux exigences liées à l'adaptabilité du navire offert par rapport à l'activité décrite dans la demand</w:t>
      </w:r>
      <w:r w:rsidR="006E6D2B">
        <w:t>e</w:t>
      </w:r>
      <w:r w:rsidR="009A1AB9">
        <w:t>.</w:t>
      </w:r>
    </w:p>
    <w:p w14:paraId="197002CF" w14:textId="6F1B9E2A" w:rsidR="006C33E0" w:rsidRPr="00C2476D" w:rsidRDefault="00646411" w:rsidP="009A1AB9">
      <w:pPr>
        <w:ind w:left="1080" w:hanging="360"/>
      </w:pPr>
      <w:sdt>
        <w:sdtPr>
          <w:id w:val="1013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4E" w:rsidRPr="00C2476D">
            <w:rPr>
              <w:rFonts w:ascii="Segoe UI Symbol" w:hAnsi="Segoe UI Symbol" w:cs="Segoe UI Symbol"/>
            </w:rPr>
            <w:t>☐</w:t>
          </w:r>
        </w:sdtContent>
      </w:sdt>
      <w:r w:rsidR="00A1734E" w:rsidRPr="00C2476D">
        <w:t xml:space="preserve"> </w:t>
      </w:r>
      <w:r w:rsidR="009A1AB9">
        <w:t xml:space="preserve"> </w:t>
      </w:r>
      <w:r w:rsidR="00FC725A">
        <w:t>Les d</w:t>
      </w:r>
      <w:r w:rsidR="00C2476D" w:rsidRPr="00C2476D">
        <w:t>étails de t</w:t>
      </w:r>
      <w:r w:rsidR="00C2476D">
        <w:t>oute adaptation proposée</w:t>
      </w:r>
      <w:r w:rsidR="00A1734E" w:rsidRPr="00C2476D">
        <w:t xml:space="preserve"> (nature, </w:t>
      </w:r>
      <w:r w:rsidR="00C2476D">
        <w:t>coûts</w:t>
      </w:r>
      <w:r w:rsidR="00A1734E" w:rsidRPr="00C2476D">
        <w:t xml:space="preserve">, </w:t>
      </w:r>
      <w:r w:rsidR="00C2476D">
        <w:t>délais</w:t>
      </w:r>
      <w:r w:rsidR="00A1734E" w:rsidRPr="00C2476D">
        <w:t xml:space="preserve">), </w:t>
      </w:r>
      <w:r w:rsidR="00C2476D">
        <w:t>le cas échéant</w:t>
      </w:r>
      <w:r w:rsidR="009A1AB9">
        <w:t>.</w:t>
      </w:r>
    </w:p>
    <w:p w14:paraId="209E9EB1" w14:textId="61CB7721" w:rsidR="006C33E0" w:rsidRPr="00FC725A" w:rsidRDefault="00646411" w:rsidP="009A1AB9">
      <w:pPr>
        <w:ind w:left="1080" w:hanging="360"/>
      </w:pPr>
      <w:sdt>
        <w:sdtPr>
          <w:id w:val="2843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5A">
            <w:rPr>
              <w:rFonts w:ascii="MS Gothic" w:eastAsia="MS Gothic" w:hAnsi="MS Gothic" w:hint="eastAsia"/>
            </w:rPr>
            <w:t>☐</w:t>
          </w:r>
        </w:sdtContent>
      </w:sdt>
      <w:r w:rsidR="00FC725A">
        <w:t xml:space="preserve"> </w:t>
      </w:r>
      <w:r w:rsidR="009A1AB9">
        <w:t xml:space="preserve"> </w:t>
      </w:r>
      <w:r w:rsidR="00FC725A">
        <w:t>D</w:t>
      </w:r>
      <w:r w:rsidR="006F44E1" w:rsidRPr="00FC725A">
        <w:t>es renseignements complets expliquant, à l</w:t>
      </w:r>
      <w:r w:rsidR="00D348AA" w:rsidRPr="00191153">
        <w:t>’</w:t>
      </w:r>
      <w:r w:rsidR="006F44E1" w:rsidRPr="00FC725A">
        <w:t>appui de l</w:t>
      </w:r>
      <w:r w:rsidR="00D348AA" w:rsidRPr="00191153">
        <w:t>’</w:t>
      </w:r>
      <w:r w:rsidR="006F44E1" w:rsidRPr="00FC725A">
        <w:t>offre, la manière dont le ou les navires offerts exécuteront l</w:t>
      </w:r>
      <w:r w:rsidR="00D348AA" w:rsidRPr="00191153">
        <w:t>’</w:t>
      </w:r>
      <w:r w:rsidR="006F44E1" w:rsidRPr="00FC725A">
        <w:t>a</w:t>
      </w:r>
      <w:r w:rsidR="00FC725A">
        <w:t>ctivité décrite dans la demande</w:t>
      </w:r>
      <w:r w:rsidR="009A1AB9">
        <w:t>.</w:t>
      </w:r>
    </w:p>
    <w:p w14:paraId="67666CC9" w14:textId="37AC3EFA" w:rsidR="006C33E0" w:rsidRPr="00FC725A" w:rsidRDefault="00646411" w:rsidP="009A1AB9">
      <w:pPr>
        <w:ind w:left="1080" w:hanging="360"/>
      </w:pPr>
      <w:sdt>
        <w:sdtPr>
          <w:id w:val="213991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4E" w:rsidRPr="00FC725A">
            <w:rPr>
              <w:rFonts w:ascii="Segoe UI Symbol" w:hAnsi="Segoe UI Symbol" w:cs="Segoe UI Symbol"/>
            </w:rPr>
            <w:t>☐</w:t>
          </w:r>
        </w:sdtContent>
      </w:sdt>
      <w:r w:rsidR="00A1734E" w:rsidRPr="00FC725A">
        <w:t xml:space="preserve"> </w:t>
      </w:r>
      <w:r w:rsidR="009A1AB9">
        <w:t xml:space="preserve"> </w:t>
      </w:r>
      <w:r w:rsidR="00FC725A">
        <w:t>La d</w:t>
      </w:r>
      <w:r w:rsidR="00FC725A" w:rsidRPr="00FC725A">
        <w:t>isponibilité du ou des navires offerts en ce qui a trait aux délais déterminés dans la demande</w:t>
      </w:r>
      <w:r w:rsidR="009A1AB9">
        <w:t>.</w:t>
      </w:r>
    </w:p>
    <w:sectPr w:rsidR="006C33E0" w:rsidRPr="00FC725A" w:rsidSect="009A1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37" w:right="1440" w:bottom="1170" w:left="1440" w:header="36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9E843" w14:textId="77777777" w:rsidR="00A1734E" w:rsidRDefault="00A1734E" w:rsidP="009A1AB9">
      <w:r>
        <w:separator/>
      </w:r>
    </w:p>
  </w:endnote>
  <w:endnote w:type="continuationSeparator" w:id="0">
    <w:p w14:paraId="134B932E" w14:textId="77777777" w:rsidR="00A1734E" w:rsidRDefault="00A1734E" w:rsidP="009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407B" w14:textId="77777777" w:rsidR="00A32CE0" w:rsidRDefault="00A3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B39E" w14:textId="68C1C8D4" w:rsidR="00500B7A" w:rsidRDefault="009A1AB9" w:rsidP="009A1AB9">
    <w:pPr>
      <w:pStyle w:val="Footer"/>
      <w:pBdr>
        <w:top w:val="none" w:sz="0" w:space="0" w:color="auto"/>
      </w:pBdr>
    </w:pPr>
    <w:r>
      <w:tab/>
    </w:r>
    <w:r w:rsidRPr="00966580">
      <w:rPr>
        <w:noProof/>
        <w:lang w:val="en-US"/>
      </w:rPr>
      <w:drawing>
        <wp:inline distT="0" distB="0" distL="0" distR="0" wp14:anchorId="40433997" wp14:editId="6E0519F6">
          <wp:extent cx="879048" cy="293485"/>
          <wp:effectExtent l="0" t="0" r="0" b="0"/>
          <wp:docPr id="11" name="Picture 11" descr="U:\AOB_CD\IMAGES and Design Files\Agency - Corporate look\FIP\Canada Wordmark\Canada_2019-01-RGB-2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OB_CD\IMAGES and Design Files\Agency - Corporate look\FIP\Canada Wordmark\Canada_2019-01-RGB-20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455" cy="30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5204" w14:textId="77777777" w:rsidR="009A1AB9" w:rsidRPr="004749C3" w:rsidRDefault="009A1AB9" w:rsidP="009A1AB9">
    <w:pPr>
      <w:pStyle w:val="Footer"/>
      <w:pBdr>
        <w:top w:val="none" w:sz="0" w:space="0" w:color="auto"/>
      </w:pBdr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3E05" w14:textId="77777777" w:rsidR="00A32CE0" w:rsidRDefault="00A3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F784" w14:textId="77777777" w:rsidR="00A1734E" w:rsidRDefault="00A1734E" w:rsidP="009A1AB9">
      <w:r>
        <w:separator/>
      </w:r>
    </w:p>
  </w:footnote>
  <w:footnote w:type="continuationSeparator" w:id="0">
    <w:p w14:paraId="789843FC" w14:textId="77777777" w:rsidR="00A1734E" w:rsidRDefault="00A1734E" w:rsidP="009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8701" w14:textId="77777777" w:rsidR="00A32CE0" w:rsidRDefault="00A3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12E9" w14:textId="56D196D4" w:rsidR="008C1CBB" w:rsidRPr="009A1AB9" w:rsidRDefault="009A1AB9" w:rsidP="009A1AB9">
    <w:pPr>
      <w:pStyle w:val="Header"/>
    </w:pPr>
    <w:r w:rsidRPr="009A1AB9">
      <w:rPr>
        <w:noProof/>
        <w:lang w:val="en-US"/>
      </w:rPr>
      <w:drawing>
        <wp:inline distT="0" distB="0" distL="0" distR="0" wp14:anchorId="2546BAAF" wp14:editId="6EDCFCF3">
          <wp:extent cx="1635123" cy="457200"/>
          <wp:effectExtent l="0" t="0" r="3810" b="0"/>
          <wp:docPr id="10" name="Picture 10" descr="U:\AOB_CD\IMAGES and Design Files\Agency - Corporate look\FIP\CTA_logo_Leaf_offside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OB_CD\IMAGES and Design Files\Agency - Corporate look\FIP\CTA_logo_Leaf_offside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4816" w14:textId="77777777" w:rsidR="00A32CE0" w:rsidRDefault="00A3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82"/>
    <w:multiLevelType w:val="multilevel"/>
    <w:tmpl w:val="A2D2006E"/>
    <w:styleLink w:val="ParaSecretariat"/>
    <w:lvl w:ilvl="0">
      <w:start w:val="1"/>
      <w:numFmt w:val="decimal"/>
      <w:lvlText w:val="[%1]"/>
      <w:lvlJc w:val="left"/>
      <w:pPr>
        <w:ind w:left="0" w:hanging="720"/>
      </w:pPr>
      <w:rPr>
        <w:rFonts w:hint="default"/>
      </w:rPr>
    </w:lvl>
    <w:lvl w:ilvl="1">
      <w:start w:val="1"/>
      <w:numFmt w:val="decimal"/>
      <w:lvlText w:val="[%2]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[%4]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ind w:left="0" w:hanging="720"/>
      </w:pPr>
      <w:rPr>
        <w:rFonts w:hint="default"/>
      </w:rPr>
    </w:lvl>
    <w:lvl w:ilvl="6">
      <w:start w:val="1"/>
      <w:numFmt w:val="decimal"/>
      <w:lvlText w:val="[%7]"/>
      <w:lvlJc w:val="left"/>
      <w:pPr>
        <w:ind w:left="0" w:hanging="720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0" w:hanging="720"/>
      </w:pPr>
      <w:rPr>
        <w:rFonts w:hint="default"/>
      </w:rPr>
    </w:lvl>
    <w:lvl w:ilvl="8">
      <w:start w:val="1"/>
      <w:numFmt w:val="decimal"/>
      <w:lvlText w:val="[%9]"/>
      <w:lvlJc w:val="left"/>
      <w:pPr>
        <w:ind w:left="0" w:hanging="720"/>
      </w:pPr>
      <w:rPr>
        <w:rFonts w:hint="default"/>
      </w:rPr>
    </w:lvl>
  </w:abstractNum>
  <w:abstractNum w:abstractNumId="1" w15:restartNumberingAfterBreak="0">
    <w:nsid w:val="0C18396E"/>
    <w:multiLevelType w:val="hybridMultilevel"/>
    <w:tmpl w:val="90FEDCD4"/>
    <w:lvl w:ilvl="0" w:tplc="7228F1D0">
      <w:start w:val="1"/>
      <w:numFmt w:val="bullet"/>
      <w:pStyle w:val="Tablecelltex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672"/>
    <w:multiLevelType w:val="multilevel"/>
    <w:tmpl w:val="8E2A47B4"/>
    <w:lvl w:ilvl="0">
      <w:start w:val="1"/>
      <w:numFmt w:val="decimal"/>
      <w:lvlText w:val="[%1]"/>
      <w:lvlJc w:val="left"/>
      <w:pPr>
        <w:ind w:left="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720"/>
      </w:pPr>
      <w:rPr>
        <w:rFonts w:hint="default"/>
      </w:rPr>
    </w:lvl>
  </w:abstractNum>
  <w:abstractNum w:abstractNumId="3" w15:restartNumberingAfterBreak="0">
    <w:nsid w:val="117B45C9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4A24F49"/>
    <w:multiLevelType w:val="hybridMultilevel"/>
    <w:tmpl w:val="B8587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6AB3"/>
    <w:multiLevelType w:val="hybridMultilevel"/>
    <w:tmpl w:val="A9500DEA"/>
    <w:lvl w:ilvl="0" w:tplc="15EA252A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011B"/>
    <w:multiLevelType w:val="multilevel"/>
    <w:tmpl w:val="A2D2006E"/>
    <w:lvl w:ilvl="0">
      <w:start w:val="1"/>
      <w:numFmt w:val="decimal"/>
      <w:lvlText w:val="[%1]"/>
      <w:lvlJc w:val="left"/>
      <w:pPr>
        <w:ind w:left="0" w:hanging="720"/>
      </w:pPr>
      <w:rPr>
        <w:rFonts w:hint="default"/>
      </w:rPr>
    </w:lvl>
    <w:lvl w:ilvl="1">
      <w:start w:val="1"/>
      <w:numFmt w:val="decimal"/>
      <w:lvlText w:val="[%2]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[%4]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ind w:left="0" w:hanging="720"/>
      </w:pPr>
      <w:rPr>
        <w:rFonts w:hint="default"/>
      </w:rPr>
    </w:lvl>
    <w:lvl w:ilvl="6">
      <w:start w:val="1"/>
      <w:numFmt w:val="decimal"/>
      <w:lvlText w:val="[%7]"/>
      <w:lvlJc w:val="left"/>
      <w:pPr>
        <w:ind w:left="0" w:hanging="720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0" w:hanging="720"/>
      </w:pPr>
      <w:rPr>
        <w:rFonts w:hint="default"/>
      </w:rPr>
    </w:lvl>
    <w:lvl w:ilvl="8">
      <w:start w:val="1"/>
      <w:numFmt w:val="decimal"/>
      <w:lvlText w:val="[%9]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2CBE249E"/>
    <w:multiLevelType w:val="multilevel"/>
    <w:tmpl w:val="DFA68854"/>
    <w:lvl w:ilvl="0">
      <w:start w:val="1"/>
      <w:numFmt w:val="decimal"/>
      <w:lvlText w:val="[%1]"/>
      <w:lvlJc w:val="left"/>
      <w:pPr>
        <w:ind w:left="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4D46BB"/>
    <w:multiLevelType w:val="multilevel"/>
    <w:tmpl w:val="A2D2006E"/>
    <w:lvl w:ilvl="0">
      <w:start w:val="1"/>
      <w:numFmt w:val="decimal"/>
      <w:lvlText w:val="[%1]"/>
      <w:lvlJc w:val="left"/>
      <w:pPr>
        <w:ind w:left="0" w:hanging="720"/>
      </w:pPr>
      <w:rPr>
        <w:rFonts w:hint="default"/>
      </w:rPr>
    </w:lvl>
    <w:lvl w:ilvl="1">
      <w:start w:val="1"/>
      <w:numFmt w:val="decimal"/>
      <w:lvlText w:val="[%2]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[%4]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ind w:left="0" w:hanging="720"/>
      </w:pPr>
      <w:rPr>
        <w:rFonts w:hint="default"/>
      </w:rPr>
    </w:lvl>
    <w:lvl w:ilvl="6">
      <w:start w:val="1"/>
      <w:numFmt w:val="decimal"/>
      <w:lvlText w:val="[%7]"/>
      <w:lvlJc w:val="left"/>
      <w:pPr>
        <w:ind w:left="0" w:hanging="720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0" w:hanging="720"/>
      </w:pPr>
      <w:rPr>
        <w:rFonts w:hint="default"/>
      </w:rPr>
    </w:lvl>
    <w:lvl w:ilvl="8">
      <w:start w:val="1"/>
      <w:numFmt w:val="decimal"/>
      <w:lvlText w:val="[%9]"/>
      <w:lvlJc w:val="left"/>
      <w:pPr>
        <w:ind w:left="0" w:hanging="720"/>
      </w:pPr>
      <w:rPr>
        <w:rFonts w:hint="default"/>
      </w:rPr>
    </w:lvl>
  </w:abstractNum>
  <w:abstractNum w:abstractNumId="9" w15:restartNumberingAfterBreak="0">
    <w:nsid w:val="65286A74"/>
    <w:multiLevelType w:val="hybridMultilevel"/>
    <w:tmpl w:val="B6DCB864"/>
    <w:lvl w:ilvl="0" w:tplc="673E37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D4126"/>
    <w:multiLevelType w:val="multilevel"/>
    <w:tmpl w:val="A2D2006E"/>
    <w:lvl w:ilvl="0">
      <w:start w:val="1"/>
      <w:numFmt w:val="decimal"/>
      <w:lvlText w:val="[%1]"/>
      <w:lvlJc w:val="left"/>
      <w:pPr>
        <w:ind w:left="0" w:hanging="720"/>
      </w:pPr>
      <w:rPr>
        <w:rFonts w:hint="default"/>
      </w:rPr>
    </w:lvl>
    <w:lvl w:ilvl="1">
      <w:start w:val="1"/>
      <w:numFmt w:val="decimal"/>
      <w:lvlText w:val="[%2]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[%4]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[%5]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ind w:left="0" w:hanging="720"/>
      </w:pPr>
      <w:rPr>
        <w:rFonts w:hint="default"/>
      </w:rPr>
    </w:lvl>
    <w:lvl w:ilvl="6">
      <w:start w:val="1"/>
      <w:numFmt w:val="decimal"/>
      <w:lvlText w:val="[%7]"/>
      <w:lvlJc w:val="left"/>
      <w:pPr>
        <w:ind w:left="0" w:hanging="720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0" w:hanging="720"/>
      </w:pPr>
      <w:rPr>
        <w:rFonts w:hint="default"/>
      </w:rPr>
    </w:lvl>
    <w:lvl w:ilvl="8">
      <w:start w:val="1"/>
      <w:numFmt w:val="decimal"/>
      <w:lvlText w:val="[%9]"/>
      <w:lvlJc w:val="left"/>
      <w:pPr>
        <w:ind w:left="0" w:hanging="720"/>
      </w:pPr>
      <w:rPr>
        <w:rFonts w:hint="default"/>
      </w:rPr>
    </w:lvl>
  </w:abstractNum>
  <w:abstractNum w:abstractNumId="11" w15:restartNumberingAfterBreak="0">
    <w:nsid w:val="68CC26DB"/>
    <w:multiLevelType w:val="hybridMultilevel"/>
    <w:tmpl w:val="EA9ADA4C"/>
    <w:lvl w:ilvl="0" w:tplc="29528820">
      <w:start w:val="1"/>
      <w:numFmt w:val="bullet"/>
      <w:pStyle w:val="Listparagraphbullets-nospaceaf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34FA"/>
    <w:multiLevelType w:val="hybridMultilevel"/>
    <w:tmpl w:val="19B49380"/>
    <w:lvl w:ilvl="0" w:tplc="05CA8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5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4D2D"/>
    <w:multiLevelType w:val="multilevel"/>
    <w:tmpl w:val="E6CA83F0"/>
    <w:lvl w:ilvl="0">
      <w:start w:val="1"/>
      <w:numFmt w:val="decimal"/>
      <w:lvlText w:val="[%1]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5"/>
  </w:num>
  <w:num w:numId="13">
    <w:abstractNumId w:val="11"/>
  </w:num>
  <w:num w:numId="14">
    <w:abstractNumId w:val="5"/>
  </w:num>
  <w:num w:numId="15">
    <w:abstractNumId w:val="5"/>
  </w:num>
  <w:num w:numId="16">
    <w:abstractNumId w:val="12"/>
  </w:num>
  <w:num w:numId="17">
    <w:abstractNumId w:val="0"/>
  </w:num>
  <w:num w:numId="18">
    <w:abstractNumId w:val="1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jQ0tjQzsDAzsTRQ0lEKTi0uzszPAykwrgUAsoK24CwAAAA="/>
    <w:docVar w:name="SourceLng" w:val="eng"/>
    <w:docVar w:name="TargetLng" w:val="fra"/>
    <w:docVar w:name="TermBases" w:val="OTC-CTA - lexicon|general english-french"/>
    <w:docVar w:name="TermBaseURL" w:val="empty"/>
    <w:docVar w:name="TextBases" w:val="TextBase TMs\Legacy\Translation(General)(Legacy)\CIMB|TextBase TMs\Legacy\Translation(General)(Legacy)\CO|TextBase TMs\Legacy\Translation(General)(Legacy)\DRB|TextBase TMs\Legacy\Translation(General)(Legacy)\IRDB|TextBase TMs\Legacy\Translation(General)(Legacy)\LSB|TextBase TMs\Legacy\Air_Transportation_Regulations|TextBase TMs\Legacy\AppInfo Help|TextBase TMs\Legacy\Intranet|TextBase TMs\Client support|TextBase TMs\Committee Minutes|TextBase TMs\Communications|TextBase TMs\Compliance|TextBase TMs\Dispute Resolution|TextBase TMs\DIVERS|TextBase TMs\Financial|TextBase TMs\Guides Guidelines and Resource Tools|TextBase TMs\HR|TextBase TMs\IM and IT|TextBase TMs\Legal|TextBase TMs\Licensing and Agreements|TextBase TMs\Management and Oversight|TextBase TMs\Property Acquisition and Materiel|Team Server TMs\Default|TextBase TMs\Decisions and Orders\Decision(Templates)|TextBase TMs\Decisions and Orders\Decisions_2000-04|TextBase TMs\Decisions and Orders\Decisions_2005-09|TextBase TMs\Decisions and Orders\Decisions_2010-14|TextBase TMs\Decisions and Orders\Decisions_2015-19|TextBase TMs\Decisions and Orders\Order(Templates)|TextBase TMs\Decisions and Orders\Orders_2010-14|TextBase TMs\Decisions and Orders\Orders_2015-19|TextBase TMs\Legacy\Formation2014Training\127-W-2015 Suncor Energy Inc|TextBase TMs\Legacy\Formation2014Training\2014-08-18|TextBase TMs\Legacy\Formation2014Training\515-a-1997|TextBase TMs\Legacy\Formation2014Training\85-at-a-1999|TextBase TMs\Legacy\Formation2014Training\agency  Rules|TextBase TMs\Legacy\Formation2014Training\Air Canada International Tarif Rule 80|TextBase TMs\Legacy\Formation2014Training\Alignment Exercise|TextBase TMs\Legacy\Formation2014Training\annotated CTA part V|TextBase TMs\Legacy\Formation2014Training\Annotated Dispute Adjudication Rules|TextBase TMs\Legacy\Formation2014Training\Barbara - Formation 2017 - Alignement|TextBase TMs\Legacy\Formation2014Training\Hawryluck|TextBase TMs\Legacy\Formation2014Training\Image Air Charter Ltd|TextBase TMs\Legacy\Formation2014Training\Johanne - Formation 2017 - Alignement|TextBase TMs\Legacy\Formation2014Training\let-r-15-2015 - mt|TextBase TMs\Legacy\Formation2014Training\Marie-Ève - Formation 2017 - Alignement|TextBase TMs\Legacy\Formation2014Training\Mélanie - Formation 2017 - Alignement|TextBase TMs\Legacy\Formation2014Training\Monique - Formation 2017 - Alignement|TextBase TMs\Legacy\Formation2014Training\Patrice - Formation 2017 - Alignement|TextBase TMs\Legacy\Formation2014Training\roles des secteurs|TextBase TMs\Legacy\Formation2014Training\Template BN|TextBase TMs\Legacy\Formation2014Training\west holding|TextBase TMs\Legacy\Publications\Interpretation Notes\Air Carrier Signage Requirements for Public Inspection of Tariffs|TextBase TMs\Legacy\Publications\Interpretation Notes\ASPAR|TextBase TMs\Legacy\Publications\Interpretation Notes\Canadian Ownership Requirement|TextBase TMs\Legacy\Publications\Interpretation Notes\Control in Fact|TextBase TMs\Legacy\Publications\Interpretation Notes\Routing of Grain and the Revenue Cap Program|TextBase TMs\Legacy\Publications\Interpretation Notes\Section 32 of the Canada Transportation Act|TextBase TMs\Legacy\Translation(General)(Legacy)\CIMB|TextBase TMs\Legacy\Translation(General)(Legacy)\CO|TextBase TMs\Legacy\Translation(General)(Legacy)\DRB|TextBase TMs\Legacy\Translation(General)(Legacy)\IRDB|TextBase TMs\Legacy\Translation(General)(Legacy)\LSB|TextBase TMs\Legacy\Agency Rules current to May 27, 2014|TextBase TMs\Legacy\Air_Transportation_Regulations|TextBase TMs\Legacy\Intranet|TextBase TMs\Client support|TextBase TMs\Committee Minutes|TextBase TMs\Communications|TextBase TMs\Compliance|TextBase TMs\Determinations|TextBase TMs\Dispute Resolution|TextBase TMs\DIVERS|TextBase TMs\Financial|TextBase TMs\Guides Guidelines and Resource Tools|TextBase TMs\HR|TextBase TMs\IM and IT|TextBase TMs\Legal|TextBase TMs\Licensing and Agreements|TextBase TMs\Management and Oversight|TextBase TMs\Property Acquisition and Materiel|Team Server TMs\Default|TextBase TMs\Decisions and Orders\Decision(Templates)|TextBase TMs\Decisions and Orders\Decisions_2000-04|TextBase TMs\Decisions and Orders\Decisions_2005-09|TextBase TMs\Decisions and Orders\Decisions_2010-14|TextBase TMs\Decisions and Orders\Decisions_2015-19|TextBase TMs\Decisions and Orders\Order(Templates)|TextBase TMs\Decisions and Orders\Orders_2010-14|TextBase TMs\Decisions and Orders\Orders_2015-19|TextBase TMs\Legacy\Formation2014Training\127-W-2015 Suncor Energy Inc|TextBase TMs\Legacy\Formation2014Training\2014-08-18|TextBase TMs\Legacy\Formation2014Training\515-a-1997|TextBase TMs\Legacy\Formation2014Training\85-at-a-1999|TextBase TMs\Legacy\Formation2014Training\agency  Rules|TextBase TMs\Legacy\Formation2014Training\Air Canada International Tarif Rule 80|TextBase TMs\Legacy\Formation2014Training\Alignment Exercise|TextBase TMs\Legacy\Formation2014Training\annotated CTA part V|TextBase TMs\Legacy\Formation2014Training\Annotated Dispute Adjudication Rules|TextBase TMs\Legacy\Formation2014Training\Barbara - Formation 2017 - Alignement|TextBase TMs\Legacy\Formation2014Training\code of practice|TextBase TMs\Legacy\Formation2014Training\Hawryluck|TextBase TMs\Legacy\Formation2014Training\Image Air Charter Ltd|TextBase TMs\Legacy\Formation2014Training\Johanne - Formation 2017 - Alignement|TextBase TMs\Legacy\Formation2014Training\let-r-15-2015 - mt|TextBase TMs\Legacy\Formation2014Training\Marie-Ève - Formation 2017 - Alignement|TextBase TMs\Legacy\Formation2014Training\Mélanie - Formation 2017 - Alignement|TextBase TMs\Legacy\Formation2014Training\Monique - Formation 2017 - Alignement|TextBase TMs\Legacy\Formation2014Training\Patrice - Formation 2017 - Alignement|TextBase TMs\Legacy\Formation2014Training\roles des secteurs|TextBase TMs\Legacy\Formation2014Training\Template BN|TextBase TMs\Legacy\Formation2014Training\west holding|TextBase TMs\Legacy\Publications\Interpretation Notes\Air Carrier Signage Requirements for Public Inspection of Tariffs|TextBase TMs\Legacy\Publications\Interpretation Notes\ASPAR|TextBase TMs\Legacy\Publications\Interpretation Notes\Canadian Ownership Requirement|TextBase TMs\Legacy\Publications\Interpretation Notes\Control in Fact|TextBase TMs\Legacy\Publications\Interpretation Notes\Routing of Grain and the Revenue Cap Program|TextBase TMs\Legacy\Publications\Interpretation Notes\Section 32 of the Canada Transportation Act|TextBase TMs\Legacy\Translation(General)(Legacy)\CIMB|TextBase TMs\Legacy\Translation(General)(Legacy)\DRB|TextBase TMs\Legacy\Translation(General)(Legacy)\IRDB|TextBase TMs\Legacy\Translation(General)(Legacy)\LSB|TextBase TMs\Legacy\Agency Rules current to May 27, 2014|TextBase TMs\Legacy\Air_Transportation_Regulations|TextBase TMs\Legacy\AppInfo Help|TextBase TMs\Legacy\Intranet|TextBase TMs\Client support|TextBase TMs\Committee Minutes|TextBase TMs\Communications|TextBase TMs\Compliance|TextBase TMs\Determinations|TextBase TMs\Dispute Resolution|TextBase TMs\DIVERS|TextBase TMs\Financial|TextBase TMs\Guides Guidelines and Resource Tools|TextBase TMs\HR|TextBase TMs\IM and IT|TextBase TMs\Legal|TextBase TMs\Licensing and Agreements|TextBase TMs\Management and Oversight|TextBase TMs\Property Acquisition and Materiel"/>
    <w:docVar w:name="TextBaseURL" w:val="empty"/>
    <w:docVar w:name="UILng" w:val="en"/>
  </w:docVars>
  <w:rsids>
    <w:rsidRoot w:val="00A1734E"/>
    <w:rsid w:val="00001A10"/>
    <w:rsid w:val="000054DE"/>
    <w:rsid w:val="00005A89"/>
    <w:rsid w:val="00016AD8"/>
    <w:rsid w:val="0003199D"/>
    <w:rsid w:val="000414E2"/>
    <w:rsid w:val="000426A6"/>
    <w:rsid w:val="00060404"/>
    <w:rsid w:val="0006586F"/>
    <w:rsid w:val="000706EB"/>
    <w:rsid w:val="0007250D"/>
    <w:rsid w:val="000838ED"/>
    <w:rsid w:val="000B2D18"/>
    <w:rsid w:val="000C4416"/>
    <w:rsid w:val="000D19C9"/>
    <w:rsid w:val="00124C4C"/>
    <w:rsid w:val="00126FD6"/>
    <w:rsid w:val="0015388D"/>
    <w:rsid w:val="00160044"/>
    <w:rsid w:val="00176D01"/>
    <w:rsid w:val="00184CBD"/>
    <w:rsid w:val="00191153"/>
    <w:rsid w:val="001913EE"/>
    <w:rsid w:val="001A29D1"/>
    <w:rsid w:val="001A3727"/>
    <w:rsid w:val="001E419D"/>
    <w:rsid w:val="001E6480"/>
    <w:rsid w:val="00202603"/>
    <w:rsid w:val="00206831"/>
    <w:rsid w:val="00222004"/>
    <w:rsid w:val="00237C5F"/>
    <w:rsid w:val="00243A31"/>
    <w:rsid w:val="00256851"/>
    <w:rsid w:val="00272A2D"/>
    <w:rsid w:val="002A2643"/>
    <w:rsid w:val="002C79DF"/>
    <w:rsid w:val="002D4302"/>
    <w:rsid w:val="002E4DAB"/>
    <w:rsid w:val="0030392B"/>
    <w:rsid w:val="00320311"/>
    <w:rsid w:val="0032741B"/>
    <w:rsid w:val="0033001F"/>
    <w:rsid w:val="00330D4C"/>
    <w:rsid w:val="00344E35"/>
    <w:rsid w:val="00345DA0"/>
    <w:rsid w:val="00373964"/>
    <w:rsid w:val="003A2743"/>
    <w:rsid w:val="003D4E2C"/>
    <w:rsid w:val="003D6272"/>
    <w:rsid w:val="003D6418"/>
    <w:rsid w:val="003D7170"/>
    <w:rsid w:val="003D7525"/>
    <w:rsid w:val="003F393E"/>
    <w:rsid w:val="003F5FC6"/>
    <w:rsid w:val="00403662"/>
    <w:rsid w:val="004125AE"/>
    <w:rsid w:val="00420C4B"/>
    <w:rsid w:val="00432B25"/>
    <w:rsid w:val="004601F2"/>
    <w:rsid w:val="00461F52"/>
    <w:rsid w:val="004749C3"/>
    <w:rsid w:val="004848B6"/>
    <w:rsid w:val="00487E6A"/>
    <w:rsid w:val="004B018C"/>
    <w:rsid w:val="004C2765"/>
    <w:rsid w:val="004C3C33"/>
    <w:rsid w:val="004D4103"/>
    <w:rsid w:val="004E0B63"/>
    <w:rsid w:val="004E67A3"/>
    <w:rsid w:val="00500B7A"/>
    <w:rsid w:val="005149C0"/>
    <w:rsid w:val="00526743"/>
    <w:rsid w:val="00554996"/>
    <w:rsid w:val="00565B60"/>
    <w:rsid w:val="00571BD4"/>
    <w:rsid w:val="00597697"/>
    <w:rsid w:val="005A260F"/>
    <w:rsid w:val="005C20D7"/>
    <w:rsid w:val="005C3DC9"/>
    <w:rsid w:val="005C670C"/>
    <w:rsid w:val="005E026B"/>
    <w:rsid w:val="005E0E4A"/>
    <w:rsid w:val="005E4F02"/>
    <w:rsid w:val="00611D85"/>
    <w:rsid w:val="0061796B"/>
    <w:rsid w:val="00640D0B"/>
    <w:rsid w:val="00642D19"/>
    <w:rsid w:val="00644C9E"/>
    <w:rsid w:val="00646411"/>
    <w:rsid w:val="00654468"/>
    <w:rsid w:val="00695631"/>
    <w:rsid w:val="006A75B0"/>
    <w:rsid w:val="006B3255"/>
    <w:rsid w:val="006C1655"/>
    <w:rsid w:val="006C33E0"/>
    <w:rsid w:val="006C512D"/>
    <w:rsid w:val="006E6D2B"/>
    <w:rsid w:val="006E6E82"/>
    <w:rsid w:val="006F44E1"/>
    <w:rsid w:val="006F6A06"/>
    <w:rsid w:val="007146F7"/>
    <w:rsid w:val="007161FD"/>
    <w:rsid w:val="00734E64"/>
    <w:rsid w:val="007369CB"/>
    <w:rsid w:val="00743F46"/>
    <w:rsid w:val="00754DEE"/>
    <w:rsid w:val="00763E04"/>
    <w:rsid w:val="0077610D"/>
    <w:rsid w:val="007A68D9"/>
    <w:rsid w:val="007B1734"/>
    <w:rsid w:val="007B6B8D"/>
    <w:rsid w:val="007E1C8B"/>
    <w:rsid w:val="007E3948"/>
    <w:rsid w:val="007F37CE"/>
    <w:rsid w:val="008027E7"/>
    <w:rsid w:val="008105A3"/>
    <w:rsid w:val="00812DB5"/>
    <w:rsid w:val="00821E89"/>
    <w:rsid w:val="00836C88"/>
    <w:rsid w:val="00837D9A"/>
    <w:rsid w:val="00850FD5"/>
    <w:rsid w:val="00864859"/>
    <w:rsid w:val="00872723"/>
    <w:rsid w:val="008C1CBB"/>
    <w:rsid w:val="008F0D2C"/>
    <w:rsid w:val="008F7878"/>
    <w:rsid w:val="00914848"/>
    <w:rsid w:val="00921F77"/>
    <w:rsid w:val="00955C52"/>
    <w:rsid w:val="00956F02"/>
    <w:rsid w:val="00960A7B"/>
    <w:rsid w:val="0096588B"/>
    <w:rsid w:val="00974F12"/>
    <w:rsid w:val="009770D4"/>
    <w:rsid w:val="009A1AB9"/>
    <w:rsid w:val="009A5F67"/>
    <w:rsid w:val="009B00F7"/>
    <w:rsid w:val="009C7224"/>
    <w:rsid w:val="009D43D4"/>
    <w:rsid w:val="00A06EE7"/>
    <w:rsid w:val="00A1734E"/>
    <w:rsid w:val="00A20CA2"/>
    <w:rsid w:val="00A32CE0"/>
    <w:rsid w:val="00A4706A"/>
    <w:rsid w:val="00A63DAA"/>
    <w:rsid w:val="00A647F8"/>
    <w:rsid w:val="00A667A2"/>
    <w:rsid w:val="00A7280C"/>
    <w:rsid w:val="00AC37A2"/>
    <w:rsid w:val="00AF63D6"/>
    <w:rsid w:val="00B16DE8"/>
    <w:rsid w:val="00B24E7B"/>
    <w:rsid w:val="00B340EE"/>
    <w:rsid w:val="00B42A60"/>
    <w:rsid w:val="00B516A6"/>
    <w:rsid w:val="00B93008"/>
    <w:rsid w:val="00BA2094"/>
    <w:rsid w:val="00BB0BAF"/>
    <w:rsid w:val="00BB1587"/>
    <w:rsid w:val="00BB3077"/>
    <w:rsid w:val="00BB69F9"/>
    <w:rsid w:val="00BC28BB"/>
    <w:rsid w:val="00BD2FE7"/>
    <w:rsid w:val="00C11D82"/>
    <w:rsid w:val="00C2476D"/>
    <w:rsid w:val="00C316A9"/>
    <w:rsid w:val="00C4242F"/>
    <w:rsid w:val="00C506B1"/>
    <w:rsid w:val="00C615D8"/>
    <w:rsid w:val="00C8228A"/>
    <w:rsid w:val="00CB21EB"/>
    <w:rsid w:val="00CD6811"/>
    <w:rsid w:val="00CE7749"/>
    <w:rsid w:val="00D073C9"/>
    <w:rsid w:val="00D13D3D"/>
    <w:rsid w:val="00D24334"/>
    <w:rsid w:val="00D263E4"/>
    <w:rsid w:val="00D330B9"/>
    <w:rsid w:val="00D348AA"/>
    <w:rsid w:val="00D40430"/>
    <w:rsid w:val="00D46345"/>
    <w:rsid w:val="00D662BE"/>
    <w:rsid w:val="00D736ED"/>
    <w:rsid w:val="00D84F16"/>
    <w:rsid w:val="00DA0C61"/>
    <w:rsid w:val="00DC4D19"/>
    <w:rsid w:val="00DD396B"/>
    <w:rsid w:val="00DE136A"/>
    <w:rsid w:val="00E34C88"/>
    <w:rsid w:val="00E37CBF"/>
    <w:rsid w:val="00E469D9"/>
    <w:rsid w:val="00E53FDE"/>
    <w:rsid w:val="00E6677F"/>
    <w:rsid w:val="00E75321"/>
    <w:rsid w:val="00E90427"/>
    <w:rsid w:val="00E929F2"/>
    <w:rsid w:val="00EA65C8"/>
    <w:rsid w:val="00EB013A"/>
    <w:rsid w:val="00EB5E2F"/>
    <w:rsid w:val="00EC2461"/>
    <w:rsid w:val="00EC3D5C"/>
    <w:rsid w:val="00EE3A79"/>
    <w:rsid w:val="00EF1B38"/>
    <w:rsid w:val="00F10A44"/>
    <w:rsid w:val="00F26BD0"/>
    <w:rsid w:val="00F26CA9"/>
    <w:rsid w:val="00F4720D"/>
    <w:rsid w:val="00F60494"/>
    <w:rsid w:val="00F608B8"/>
    <w:rsid w:val="00F751CE"/>
    <w:rsid w:val="00F848F4"/>
    <w:rsid w:val="00F918DC"/>
    <w:rsid w:val="00F9439F"/>
    <w:rsid w:val="00FC0B2D"/>
    <w:rsid w:val="00FC6035"/>
    <w:rsid w:val="00FC725A"/>
    <w:rsid w:val="00FD1E4D"/>
    <w:rsid w:val="00FD5DE4"/>
    <w:rsid w:val="00FE3AF2"/>
    <w:rsid w:val="00FE4810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33F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6"/>
        <w:lang w:val="en-CA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/>
    <w:lsdException w:name="heading 8" w:locked="1" w:semiHidden="1" w:uiPriority="9" w:unhideWhenUsed="1" w:qFormat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locked="1" w:uiPriority="43"/>
    <w:lsdException w:name="Plain Table 4" w:uiPriority="44"/>
    <w:lsdException w:name="Plain Table 5" w:locked="1" w:uiPriority="45"/>
    <w:lsdException w:name="Grid Table Light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qFormat/>
    <w:rsid w:val="009A1AB9"/>
    <w:pPr>
      <w:spacing w:after="200"/>
    </w:pPr>
    <w:rPr>
      <w:rFonts w:asciiTheme="minorHAnsi" w:eastAsia="Calibri" w:hAnsiTheme="minorHAnsi" w:cstheme="minorHAnsi"/>
      <w:sz w:val="28"/>
      <w:szCs w:val="28"/>
      <w:lang w:val="fr-CA"/>
    </w:rPr>
  </w:style>
  <w:style w:type="paragraph" w:styleId="Heading1">
    <w:name w:val="heading 1"/>
    <w:aliases w:val="Heading 1 -  use for document title only"/>
    <w:basedOn w:val="Normal"/>
    <w:next w:val="Normal"/>
    <w:link w:val="Heading1Char"/>
    <w:uiPriority w:val="9"/>
    <w:qFormat/>
    <w:rsid w:val="00202603"/>
    <w:pPr>
      <w:spacing w:after="480" w:line="240" w:lineRule="auto"/>
      <w:outlineLvl w:val="0"/>
    </w:pPr>
    <w:rPr>
      <w:b/>
      <w:color w:val="7A0306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A1AB9"/>
    <w:pPr>
      <w:spacing w:after="200"/>
      <w:outlineLvl w:val="1"/>
    </w:pPr>
    <w:rPr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D3D"/>
    <w:pPr>
      <w:spacing w:before="240" w:after="220" w:line="240" w:lineRule="auto"/>
      <w:outlineLvl w:val="2"/>
    </w:pPr>
    <w:rPr>
      <w:b/>
      <w:sz w:val="3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86F"/>
    <w:pPr>
      <w:spacing w:line="252" w:lineRule="auto"/>
      <w:outlineLvl w:val="3"/>
    </w:pPr>
    <w:rPr>
      <w:b/>
      <w:color w:val="000000" w:themeColor="text1"/>
      <w:sz w:val="30"/>
      <w:szCs w:val="3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FE7"/>
    <w:pPr>
      <w:spacing w:line="264" w:lineRule="auto"/>
      <w:outlineLvl w:val="4"/>
    </w:pPr>
    <w:rPr>
      <w:b/>
      <w:color w:val="000000" w:themeColor="text1"/>
      <w:szCs w:val="3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33001F"/>
    <w:pPr>
      <w:keepNext/>
      <w:keepLines/>
      <w:outlineLvl w:val="5"/>
    </w:pPr>
    <w:rPr>
      <w:rFonts w:eastAsiaTheme="majorEastAsia" w:cstheme="majorBidi"/>
      <w:b/>
      <w:color w:val="7A0306"/>
    </w:rPr>
  </w:style>
  <w:style w:type="paragraph" w:styleId="Heading7">
    <w:name w:val="heading 7"/>
    <w:basedOn w:val="Heading6"/>
    <w:next w:val="Normal"/>
    <w:link w:val="Heading7Char"/>
    <w:uiPriority w:val="9"/>
    <w:unhideWhenUsed/>
    <w:locked/>
    <w:rsid w:val="0033001F"/>
    <w:pPr>
      <w:outlineLvl w:val="6"/>
    </w:pPr>
    <w:rPr>
      <w:color w:val="000000" w:themeColor="text1"/>
    </w:rPr>
  </w:style>
  <w:style w:type="paragraph" w:styleId="Heading8">
    <w:name w:val="heading 8"/>
    <w:basedOn w:val="Heading7"/>
    <w:next w:val="Normal"/>
    <w:link w:val="Heading8Char"/>
    <w:uiPriority w:val="9"/>
    <w:unhideWhenUsed/>
    <w:locked/>
    <w:rsid w:val="0033001F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locked/>
    <w:rsid w:val="00554996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E4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02"/>
    <w:rPr>
      <w:rFonts w:asciiTheme="minorHAnsi" w:hAnsiTheme="minorHAnsi" w:cstheme="minorBidi"/>
      <w:szCs w:val="26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qFormat/>
    <w:rsid w:val="005E4F02"/>
    <w:pPr>
      <w:pBdr>
        <w:top w:val="single" w:sz="4" w:space="3" w:color="auto"/>
      </w:pBdr>
      <w:tabs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4F02"/>
    <w:rPr>
      <w:rFonts w:asciiTheme="minorHAnsi" w:hAnsiTheme="minorHAnsi" w:cstheme="minorBidi"/>
      <w:sz w:val="20"/>
      <w:szCs w:val="20"/>
      <w:lang w:val="en-US" w:eastAsia="en-CA"/>
    </w:rPr>
  </w:style>
  <w:style w:type="character" w:styleId="Hyperlink">
    <w:name w:val="Hyperlink"/>
    <w:basedOn w:val="DefaultParagraphFont"/>
    <w:uiPriority w:val="99"/>
    <w:unhideWhenUsed/>
    <w:qFormat/>
    <w:rsid w:val="00F9439F"/>
    <w:rPr>
      <w:color w:val="3344DD"/>
      <w:u w:val="single"/>
    </w:rPr>
  </w:style>
  <w:style w:type="paragraph" w:customStyle="1" w:styleId="Listparagraphbullets-nospaceafter">
    <w:name w:val="List paragraph bullets - no space after"/>
    <w:basedOn w:val="Normal"/>
    <w:qFormat/>
    <w:rsid w:val="005E026B"/>
    <w:pPr>
      <w:numPr>
        <w:numId w:val="13"/>
      </w:numPr>
      <w:spacing w:after="0"/>
      <w:ind w:left="630" w:hanging="270"/>
    </w:pPr>
    <w:rPr>
      <w:noProof/>
    </w:rPr>
  </w:style>
  <w:style w:type="character" w:customStyle="1" w:styleId="Heading1Char">
    <w:name w:val="Heading 1 Char"/>
    <w:aliases w:val="Heading 1 -  use for document title only Char"/>
    <w:basedOn w:val="DefaultParagraphFont"/>
    <w:link w:val="Heading1"/>
    <w:uiPriority w:val="9"/>
    <w:rsid w:val="00202603"/>
    <w:rPr>
      <w:b/>
      <w:color w:val="7A0306" w:themeColor="text2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A1AB9"/>
    <w:rPr>
      <w:b/>
      <w:color w:val="000000" w:themeColor="text1"/>
      <w:sz w:val="36"/>
      <w:szCs w:val="36"/>
      <w:lang w:val="fr-CA"/>
    </w:rPr>
  </w:style>
  <w:style w:type="paragraph" w:customStyle="1" w:styleId="Listnumbered">
    <w:name w:val="List numbered"/>
    <w:basedOn w:val="Normal"/>
    <w:qFormat/>
    <w:rsid w:val="005E026B"/>
    <w:pPr>
      <w:numPr>
        <w:numId w:val="15"/>
      </w:numPr>
      <w:ind w:left="630" w:hanging="270"/>
    </w:pPr>
    <w:rPr>
      <w:noProof/>
      <w:lang w:val="la-Latn"/>
    </w:rPr>
  </w:style>
  <w:style w:type="character" w:customStyle="1" w:styleId="Heading3Char">
    <w:name w:val="Heading 3 Char"/>
    <w:basedOn w:val="DefaultParagraphFont"/>
    <w:link w:val="Heading3"/>
    <w:uiPriority w:val="9"/>
    <w:rsid w:val="00D13D3D"/>
    <w:rPr>
      <w:b/>
      <w:sz w:val="3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6586F"/>
    <w:rPr>
      <w:b/>
      <w:color w:val="000000" w:themeColor="text1"/>
      <w:sz w:val="30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D2FE7"/>
    <w:rPr>
      <w:b/>
      <w:color w:val="000000" w:themeColor="text1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3001F"/>
    <w:rPr>
      <w:rFonts w:asciiTheme="minorHAnsi" w:eastAsiaTheme="majorEastAsia" w:hAnsiTheme="minorHAnsi" w:cstheme="majorBidi"/>
      <w:b/>
      <w:color w:val="7A0306"/>
      <w:szCs w:val="26"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33001F"/>
    <w:rPr>
      <w:rFonts w:asciiTheme="minorHAnsi" w:eastAsiaTheme="majorEastAsia" w:hAnsiTheme="minorHAnsi" w:cstheme="majorBidi"/>
      <w:b/>
      <w:color w:val="000000" w:themeColor="text1"/>
      <w:szCs w:val="26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33001F"/>
    <w:rPr>
      <w:rFonts w:asciiTheme="minorHAnsi" w:eastAsiaTheme="majorEastAsia" w:hAnsiTheme="minorHAnsi" w:cstheme="majorBidi"/>
      <w:b/>
      <w:color w:val="000000" w:themeColor="text1"/>
      <w:szCs w:val="26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554996"/>
    <w:rPr>
      <w:rFonts w:eastAsiaTheme="majorEastAsia" w:cstheme="majorBidi"/>
      <w:b/>
      <w:iCs/>
      <w:color w:val="272727" w:themeColor="text1" w:themeTint="D8"/>
      <w:szCs w:val="21"/>
    </w:rPr>
  </w:style>
  <w:style w:type="paragraph" w:customStyle="1" w:styleId="Listnumbered-nospaceafter">
    <w:name w:val="List numbered - no space after"/>
    <w:basedOn w:val="Listnumbered"/>
    <w:next w:val="Normal"/>
    <w:qFormat/>
    <w:rsid w:val="005E026B"/>
    <w:pPr>
      <w:spacing w:after="0"/>
    </w:pPr>
  </w:style>
  <w:style w:type="table" w:customStyle="1" w:styleId="CTAbasictable">
    <w:name w:val="CTA basic table"/>
    <w:basedOn w:val="TableNormal"/>
    <w:next w:val="TableGridLight"/>
    <w:uiPriority w:val="40"/>
    <w:rsid w:val="00F9439F"/>
    <w:pPr>
      <w:spacing w:before="60" w:after="6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Calibri" w:hAnsi="Calibri"/>
        <w:b/>
        <w:color w:val="000000"/>
        <w:sz w:val="26"/>
      </w:rPr>
      <w:tblPr/>
      <w:tcPr>
        <w:shd w:val="clear" w:color="auto" w:fill="F2F2F2"/>
      </w:tcPr>
    </w:tblStylePr>
  </w:style>
  <w:style w:type="paragraph" w:customStyle="1" w:styleId="Normal-nospaceafter">
    <w:name w:val="Normal - no space after"/>
    <w:basedOn w:val="Normal"/>
    <w:next w:val="Normal"/>
    <w:qFormat/>
    <w:rsid w:val="005E4F0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E4F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numbering" w:customStyle="1" w:styleId="ParaSecretariat">
    <w:name w:val="Para # Secretariat"/>
    <w:uiPriority w:val="99"/>
    <w:rsid w:val="005E4F02"/>
    <w:pPr>
      <w:numPr>
        <w:numId w:val="17"/>
      </w:numPr>
    </w:pPr>
  </w:style>
  <w:style w:type="table" w:styleId="TableGrid">
    <w:name w:val="Table Grid"/>
    <w:basedOn w:val="TableNormal"/>
    <w:uiPriority w:val="59"/>
    <w:rsid w:val="005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-headerrow">
    <w:name w:val="Table cell - header row"/>
    <w:basedOn w:val="Normal"/>
    <w:qFormat/>
    <w:rsid w:val="004601F2"/>
    <w:pPr>
      <w:spacing w:before="60" w:after="60"/>
    </w:pPr>
    <w:rPr>
      <w:b/>
      <w:color w:val="000000" w:themeColor="text1"/>
    </w:rPr>
  </w:style>
  <w:style w:type="paragraph" w:styleId="TOCHeading">
    <w:name w:val="TOC Heading"/>
    <w:basedOn w:val="Normal"/>
    <w:next w:val="Normal"/>
    <w:uiPriority w:val="39"/>
    <w:unhideWhenUsed/>
    <w:qFormat/>
    <w:rsid w:val="00E75321"/>
    <w:pPr>
      <w:keepNext/>
      <w:keepLines/>
      <w:spacing w:before="240" w:after="220" w:line="240" w:lineRule="auto"/>
    </w:pPr>
    <w:rPr>
      <w:rFonts w:eastAsiaTheme="majorEastAsia" w:cstheme="majorBidi"/>
      <w:b/>
      <w:color w:val="000000" w:themeColor="text1"/>
      <w:sz w:val="46"/>
      <w:szCs w:val="32"/>
    </w:rPr>
  </w:style>
  <w:style w:type="paragraph" w:customStyle="1" w:styleId="Tablecelltext">
    <w:name w:val="Table cell text"/>
    <w:basedOn w:val="Normal"/>
    <w:qFormat/>
    <w:rsid w:val="004601F2"/>
    <w:pPr>
      <w:spacing w:before="60" w:after="60" w:line="240" w:lineRule="auto"/>
    </w:pPr>
    <w:rPr>
      <w:color w:val="000000"/>
    </w:rPr>
  </w:style>
  <w:style w:type="paragraph" w:customStyle="1" w:styleId="Tabletitle">
    <w:name w:val="Table title"/>
    <w:basedOn w:val="Heading7"/>
    <w:next w:val="Tablecell-headerrow"/>
    <w:qFormat/>
    <w:rsid w:val="00914848"/>
    <w:pPr>
      <w:spacing w:before="240" w:line="240" w:lineRule="auto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6BD0"/>
    <w:pPr>
      <w:tabs>
        <w:tab w:val="right" w:leader="dot" w:pos="9360"/>
      </w:tabs>
      <w:spacing w:before="120" w:after="0"/>
    </w:pPr>
    <w:rPr>
      <w:noProof/>
      <w:lang w:val="la-Latn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6E6E82"/>
  </w:style>
  <w:style w:type="paragraph" w:styleId="TOC3">
    <w:name w:val="toc 3"/>
    <w:basedOn w:val="Normal"/>
    <w:next w:val="Normal"/>
    <w:autoRedefine/>
    <w:uiPriority w:val="39"/>
    <w:unhideWhenUsed/>
    <w:qFormat/>
    <w:rsid w:val="006E6E82"/>
    <w:pPr>
      <w:tabs>
        <w:tab w:val="right" w:leader="dot" w:pos="9360"/>
      </w:tabs>
      <w:spacing w:after="0"/>
      <w:ind w:left="540"/>
    </w:pPr>
    <w:rPr>
      <w:noProof/>
    </w:rPr>
  </w:style>
  <w:style w:type="table" w:styleId="GridTable3-Accent1">
    <w:name w:val="Grid Table 3 Accent 1"/>
    <w:basedOn w:val="TableNormal"/>
    <w:uiPriority w:val="48"/>
    <w:locked/>
    <w:rsid w:val="00F26BD0"/>
    <w:pPr>
      <w:spacing w:after="0" w:line="240" w:lineRule="auto"/>
    </w:pPr>
    <w:tblPr>
      <w:tblStyleRowBandSize w:val="1"/>
      <w:tblStyleColBandSize w:val="1"/>
      <w:tblBorders>
        <w:top w:val="single" w:sz="4" w:space="0" w:color="FFB851" w:themeColor="accent1" w:themeTint="99"/>
        <w:left w:val="single" w:sz="4" w:space="0" w:color="FFB851" w:themeColor="accent1" w:themeTint="99"/>
        <w:bottom w:val="single" w:sz="4" w:space="0" w:color="FFB851" w:themeColor="accent1" w:themeTint="99"/>
        <w:right w:val="single" w:sz="4" w:space="0" w:color="FFB851" w:themeColor="accent1" w:themeTint="99"/>
        <w:insideH w:val="single" w:sz="4" w:space="0" w:color="FFB851" w:themeColor="accent1" w:themeTint="99"/>
        <w:insideV w:val="single" w:sz="4" w:space="0" w:color="FFB85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5" w:themeFill="accent1" w:themeFillTint="33"/>
      </w:tcPr>
    </w:tblStylePr>
    <w:tblStylePr w:type="band1Horz">
      <w:tblPr/>
      <w:tcPr>
        <w:shd w:val="clear" w:color="auto" w:fill="FFE7C5" w:themeFill="accent1" w:themeFillTint="33"/>
      </w:tcPr>
    </w:tblStylePr>
    <w:tblStylePr w:type="neCell">
      <w:tblPr/>
      <w:tcPr>
        <w:tcBorders>
          <w:bottom w:val="single" w:sz="4" w:space="0" w:color="FFB851" w:themeColor="accent1" w:themeTint="99"/>
        </w:tcBorders>
      </w:tcPr>
    </w:tblStylePr>
    <w:tblStylePr w:type="nwCell">
      <w:tblPr/>
      <w:tcPr>
        <w:tcBorders>
          <w:bottom w:val="single" w:sz="4" w:space="0" w:color="FFB851" w:themeColor="accent1" w:themeTint="99"/>
        </w:tcBorders>
      </w:tcPr>
    </w:tblStylePr>
    <w:tblStylePr w:type="seCell">
      <w:tblPr/>
      <w:tcPr>
        <w:tcBorders>
          <w:top w:val="single" w:sz="4" w:space="0" w:color="FFB851" w:themeColor="accent1" w:themeTint="99"/>
        </w:tcBorders>
      </w:tcPr>
    </w:tblStylePr>
    <w:tblStylePr w:type="swCell">
      <w:tblPr/>
      <w:tcPr>
        <w:tcBorders>
          <w:top w:val="single" w:sz="4" w:space="0" w:color="FFB851" w:themeColor="accent1" w:themeTint="99"/>
        </w:tcBorders>
      </w:tcPr>
    </w:tblStylePr>
  </w:style>
  <w:style w:type="character" w:customStyle="1" w:styleId="customred">
    <w:name w:val="custom red"/>
    <w:basedOn w:val="DefaultParagraphFont"/>
    <w:uiPriority w:val="1"/>
    <w:qFormat/>
    <w:locked/>
    <w:rsid w:val="00FD1E4D"/>
  </w:style>
  <w:style w:type="table" w:styleId="GridTable2-Accent1">
    <w:name w:val="Grid Table 2 Accent 1"/>
    <w:basedOn w:val="TableNormal"/>
    <w:uiPriority w:val="47"/>
    <w:locked/>
    <w:rsid w:val="00F26BD0"/>
    <w:pPr>
      <w:spacing w:after="0" w:line="240" w:lineRule="auto"/>
    </w:pPr>
    <w:tblPr>
      <w:tblStyleRowBandSize w:val="1"/>
      <w:tblStyleColBandSize w:val="1"/>
      <w:tblBorders>
        <w:top w:val="single" w:sz="2" w:space="0" w:color="FFB851" w:themeColor="accent1" w:themeTint="99"/>
        <w:bottom w:val="single" w:sz="2" w:space="0" w:color="FFB851" w:themeColor="accent1" w:themeTint="99"/>
        <w:insideH w:val="single" w:sz="2" w:space="0" w:color="FFB851" w:themeColor="accent1" w:themeTint="99"/>
        <w:insideV w:val="single" w:sz="2" w:space="0" w:color="FFB85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85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85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5" w:themeFill="accent1" w:themeFillTint="33"/>
      </w:tcPr>
    </w:tblStylePr>
    <w:tblStylePr w:type="band1Horz">
      <w:tblPr/>
      <w:tcPr>
        <w:shd w:val="clear" w:color="auto" w:fill="FFE7C5" w:themeFill="accent1" w:themeFillTint="33"/>
      </w:tcPr>
    </w:tblStylePr>
  </w:style>
  <w:style w:type="table" w:styleId="GridTable7Colorful-Accent6">
    <w:name w:val="Grid Table 7 Colorful Accent 6"/>
    <w:basedOn w:val="TableNormal"/>
    <w:uiPriority w:val="52"/>
    <w:locked/>
    <w:rsid w:val="00F26BD0"/>
    <w:pPr>
      <w:spacing w:after="0" w:line="240" w:lineRule="auto"/>
    </w:pPr>
    <w:rPr>
      <w:color w:val="6DC0E4" w:themeColor="accent6" w:themeShade="BF"/>
    </w:rPr>
    <w:tblPr>
      <w:tblStyleRowBandSize w:val="1"/>
      <w:tblStyleColBandSize w:val="1"/>
      <w:tblBorders>
        <w:top w:val="single" w:sz="4" w:space="0" w:color="E1F2F9" w:themeColor="accent6" w:themeTint="99"/>
        <w:left w:val="single" w:sz="4" w:space="0" w:color="E1F2F9" w:themeColor="accent6" w:themeTint="99"/>
        <w:bottom w:val="single" w:sz="4" w:space="0" w:color="E1F2F9" w:themeColor="accent6" w:themeTint="99"/>
        <w:right w:val="single" w:sz="4" w:space="0" w:color="E1F2F9" w:themeColor="accent6" w:themeTint="99"/>
        <w:insideH w:val="single" w:sz="4" w:space="0" w:color="E1F2F9" w:themeColor="accent6" w:themeTint="99"/>
        <w:insideV w:val="single" w:sz="4" w:space="0" w:color="E1F2F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AFD" w:themeFill="accent6" w:themeFillTint="33"/>
      </w:tcPr>
    </w:tblStylePr>
    <w:tblStylePr w:type="band1Horz">
      <w:tblPr/>
      <w:tcPr>
        <w:shd w:val="clear" w:color="auto" w:fill="F5FAFD" w:themeFill="accent6" w:themeFillTint="33"/>
      </w:tcPr>
    </w:tblStylePr>
    <w:tblStylePr w:type="neCell">
      <w:tblPr/>
      <w:tcPr>
        <w:tcBorders>
          <w:bottom w:val="single" w:sz="4" w:space="0" w:color="E1F2F9" w:themeColor="accent6" w:themeTint="99"/>
        </w:tcBorders>
      </w:tcPr>
    </w:tblStylePr>
    <w:tblStylePr w:type="nwCell">
      <w:tblPr/>
      <w:tcPr>
        <w:tcBorders>
          <w:bottom w:val="single" w:sz="4" w:space="0" w:color="E1F2F9" w:themeColor="accent6" w:themeTint="99"/>
        </w:tcBorders>
      </w:tcPr>
    </w:tblStylePr>
    <w:tblStylePr w:type="seCell">
      <w:tblPr/>
      <w:tcPr>
        <w:tcBorders>
          <w:top w:val="single" w:sz="4" w:space="0" w:color="E1F2F9" w:themeColor="accent6" w:themeTint="99"/>
        </w:tcBorders>
      </w:tcPr>
    </w:tblStylePr>
    <w:tblStylePr w:type="swCell">
      <w:tblPr/>
      <w:tcPr>
        <w:tcBorders>
          <w:top w:val="single" w:sz="4" w:space="0" w:color="E1F2F9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locked/>
    <w:rsid w:val="005E0E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B340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E0E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5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locked/>
    <w:rsid w:val="005E0E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locked/>
    <w:rsid w:val="004B018C"/>
    <w:pPr>
      <w:spacing w:after="0" w:line="240" w:lineRule="auto"/>
    </w:pPr>
    <w:tblPr>
      <w:tblStyleRowBandSize w:val="1"/>
      <w:tblStyleColBandSize w:val="1"/>
      <w:tblBorders>
        <w:top w:val="single" w:sz="4" w:space="0" w:color="FFCF8B" w:themeColor="accent1" w:themeTint="66"/>
        <w:left w:val="single" w:sz="4" w:space="0" w:color="FFCF8B" w:themeColor="accent1" w:themeTint="66"/>
        <w:bottom w:val="single" w:sz="4" w:space="0" w:color="FFCF8B" w:themeColor="accent1" w:themeTint="66"/>
        <w:right w:val="single" w:sz="4" w:space="0" w:color="FFCF8B" w:themeColor="accent1" w:themeTint="66"/>
        <w:insideH w:val="single" w:sz="4" w:space="0" w:color="FFCF8B" w:themeColor="accent1" w:themeTint="66"/>
        <w:insideV w:val="single" w:sz="4" w:space="0" w:color="FFCF8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8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8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4B018C"/>
    <w:pPr>
      <w:spacing w:after="0" w:line="240" w:lineRule="auto"/>
    </w:pPr>
    <w:tblPr>
      <w:tblStyleRowBandSize w:val="1"/>
      <w:tblStyleColBandSize w:val="1"/>
      <w:tblBorders>
        <w:top w:val="single" w:sz="4" w:space="0" w:color="EFED85" w:themeColor="accent2" w:themeTint="66"/>
        <w:left w:val="single" w:sz="4" w:space="0" w:color="EFED85" w:themeColor="accent2" w:themeTint="66"/>
        <w:bottom w:val="single" w:sz="4" w:space="0" w:color="EFED85" w:themeColor="accent2" w:themeTint="66"/>
        <w:right w:val="single" w:sz="4" w:space="0" w:color="EFED85" w:themeColor="accent2" w:themeTint="66"/>
        <w:insideH w:val="single" w:sz="4" w:space="0" w:color="EFED85" w:themeColor="accent2" w:themeTint="66"/>
        <w:insideV w:val="single" w:sz="4" w:space="0" w:color="EFED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8E44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44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4B018C"/>
    <w:pPr>
      <w:spacing w:after="0" w:line="240" w:lineRule="auto"/>
    </w:pPr>
    <w:tblPr>
      <w:tblStyleRowBandSize w:val="1"/>
      <w:tblStyleColBandSize w:val="1"/>
      <w:tblBorders>
        <w:top w:val="single" w:sz="4" w:space="0" w:color="FBB7BE" w:themeColor="accent3" w:themeTint="66"/>
        <w:left w:val="single" w:sz="4" w:space="0" w:color="FBB7BE" w:themeColor="accent3" w:themeTint="66"/>
        <w:bottom w:val="single" w:sz="4" w:space="0" w:color="FBB7BE" w:themeColor="accent3" w:themeTint="66"/>
        <w:right w:val="single" w:sz="4" w:space="0" w:color="FBB7BE" w:themeColor="accent3" w:themeTint="66"/>
        <w:insideH w:val="single" w:sz="4" w:space="0" w:color="FBB7BE" w:themeColor="accent3" w:themeTint="66"/>
        <w:insideV w:val="single" w:sz="4" w:space="0" w:color="FBB7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94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94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locked/>
    <w:rsid w:val="004B018C"/>
    <w:pPr>
      <w:spacing w:after="0" w:line="240" w:lineRule="auto"/>
    </w:pPr>
    <w:tblPr>
      <w:tblStyleRowBandSize w:val="1"/>
      <w:tblStyleColBandSize w:val="1"/>
      <w:tblBorders>
        <w:top w:val="single" w:sz="4" w:space="0" w:color="DC8300" w:themeColor="accent1"/>
        <w:left w:val="single" w:sz="4" w:space="0" w:color="DC8300" w:themeColor="accent1"/>
        <w:bottom w:val="single" w:sz="4" w:space="0" w:color="DC8300" w:themeColor="accent1"/>
        <w:right w:val="single" w:sz="4" w:space="0" w:color="DC83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8300" w:themeFill="accent1"/>
      </w:tcPr>
    </w:tblStylePr>
    <w:tblStylePr w:type="lastRow">
      <w:rPr>
        <w:b/>
        <w:bCs/>
      </w:rPr>
      <w:tblPr/>
      <w:tcPr>
        <w:tcBorders>
          <w:top w:val="double" w:sz="4" w:space="0" w:color="DC83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8300" w:themeColor="accent1"/>
          <w:right w:val="single" w:sz="4" w:space="0" w:color="DC8300" w:themeColor="accent1"/>
        </w:tcBorders>
      </w:tcPr>
    </w:tblStylePr>
    <w:tblStylePr w:type="band1Horz">
      <w:tblPr/>
      <w:tcPr>
        <w:tcBorders>
          <w:top w:val="single" w:sz="4" w:space="0" w:color="DC8300" w:themeColor="accent1"/>
          <w:bottom w:val="single" w:sz="4" w:space="0" w:color="DC83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8300" w:themeColor="accent1"/>
          <w:left w:val="nil"/>
        </w:tcBorders>
      </w:tcPr>
    </w:tblStylePr>
    <w:tblStylePr w:type="swCell">
      <w:tblPr/>
      <w:tcPr>
        <w:tcBorders>
          <w:top w:val="double" w:sz="4" w:space="0" w:color="DC8300" w:themeColor="accent1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4B018C"/>
    <w:pPr>
      <w:spacing w:after="0" w:line="240" w:lineRule="auto"/>
    </w:pPr>
    <w:rPr>
      <w:color w:val="52245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306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306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306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306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CDE8" w:themeFill="accent5" w:themeFillTint="33"/>
      </w:tcPr>
    </w:tblStylePr>
    <w:tblStylePr w:type="band1Horz">
      <w:tblPr/>
      <w:tcPr>
        <w:shd w:val="clear" w:color="auto" w:fill="E9CD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locked/>
    <w:rsid w:val="004B01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A470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locked/>
    <w:rsid w:val="00A4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85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85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5" w:themeFill="accent1" w:themeFillTint="33"/>
      </w:tcPr>
    </w:tblStylePr>
    <w:tblStylePr w:type="band1Horz">
      <w:tblPr/>
      <w:tcPr>
        <w:shd w:val="clear" w:color="auto" w:fill="FFE7C5" w:themeFill="accent1" w:themeFillTint="33"/>
      </w:tcPr>
    </w:tblStylePr>
  </w:style>
  <w:style w:type="table" w:styleId="ListTable1Light">
    <w:name w:val="List Table 1 Light"/>
    <w:basedOn w:val="TableNormal"/>
    <w:uiPriority w:val="46"/>
    <w:locked/>
    <w:rsid w:val="00565B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locked/>
    <w:rsid w:val="00B340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locked/>
    <w:rsid w:val="00B340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paragraphbullets">
    <w:name w:val="List paragraph bullets"/>
    <w:basedOn w:val="Listparagraphbullets-nospaceafter"/>
    <w:qFormat/>
    <w:rsid w:val="00B340EE"/>
    <w:pPr>
      <w:spacing w:after="240"/>
      <w:ind w:left="634" w:hanging="274"/>
    </w:pPr>
  </w:style>
  <w:style w:type="table" w:customStyle="1" w:styleId="Style1">
    <w:name w:val="Style1"/>
    <w:basedOn w:val="TableGridLight"/>
    <w:uiPriority w:val="99"/>
    <w:rsid w:val="00420C4B"/>
    <w:tblPr/>
    <w:tblStylePr w:type="firstRow">
      <w:pPr>
        <w:jc w:val="left"/>
      </w:pPr>
      <w:rPr>
        <w:rFonts w:ascii="Calibri" w:hAnsi="Calibri"/>
        <w:b/>
        <w:sz w:val="26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celltext-bullets">
    <w:name w:val="Table cell text - bullets"/>
    <w:basedOn w:val="Tablecelltext"/>
    <w:qFormat/>
    <w:rsid w:val="00420C4B"/>
    <w:pPr>
      <w:numPr>
        <w:numId w:val="19"/>
      </w:numPr>
      <w:ind w:left="240" w:hanging="240"/>
    </w:pPr>
    <w:rPr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160044"/>
    <w:pPr>
      <w:spacing w:before="60" w:after="6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Calibri" w:hAnsi="Calibri"/>
        <w:b/>
        <w:color w:val="000000"/>
        <w:sz w:val="26"/>
      </w:rPr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7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otc-cta.g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TA colours new">
      <a:dk1>
        <a:sysClr val="windowText" lastClr="000000"/>
      </a:dk1>
      <a:lt1>
        <a:sysClr val="window" lastClr="FFFFFF"/>
      </a:lt1>
      <a:dk2>
        <a:srgbClr val="7A0306"/>
      </a:dk2>
      <a:lt2>
        <a:srgbClr val="D8D8D8"/>
      </a:lt2>
      <a:accent1>
        <a:srgbClr val="DC8300"/>
      </a:accent1>
      <a:accent2>
        <a:srgbClr val="969313"/>
      </a:accent2>
      <a:accent3>
        <a:srgbClr val="F64D5F"/>
      </a:accent3>
      <a:accent4>
        <a:srgbClr val="485180"/>
      </a:accent4>
      <a:accent5>
        <a:srgbClr val="6E306C"/>
      </a:accent5>
      <a:accent6>
        <a:srgbClr val="CEEAF6"/>
      </a:accent6>
      <a:hlink>
        <a:srgbClr val="2B3358"/>
      </a:hlink>
      <a:folHlink>
        <a:srgbClr val="8869AD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7A0003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A189-6F39-4F01-A714-05C1AA8F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2023-06-27T15:37:00Z</dcterms:created>
  <dcterms:modified xsi:type="dcterms:W3CDTF">2023-06-27T15:37:00Z</dcterms:modified>
</cp:coreProperties>
</file>