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304" w:rsidRPr="004D25C1" w:rsidRDefault="00D70264" w:rsidP="004D25C1">
      <w:pPr>
        <w:pStyle w:val="Heading1"/>
        <w:spacing w:before="3600"/>
        <w:rPr>
          <w:lang w:val="fr-CA"/>
        </w:rPr>
      </w:pPr>
      <w:r w:rsidRPr="00D70264">
        <w:rPr>
          <w:lang w:val="fr-CA"/>
        </w:rPr>
        <w:t xml:space="preserve">Rencontre de consultation </w:t>
      </w:r>
      <w:r>
        <w:rPr>
          <w:lang w:val="fr-CA"/>
        </w:rPr>
        <w:br/>
      </w:r>
      <w:r w:rsidRPr="00D70264">
        <w:rPr>
          <w:lang w:val="fr-CA"/>
        </w:rPr>
        <w:t xml:space="preserve">sur les demandes </w:t>
      </w:r>
      <w:r>
        <w:rPr>
          <w:lang w:val="fr-CA"/>
        </w:rPr>
        <w:br/>
      </w:r>
      <w:r w:rsidRPr="00D70264">
        <w:rPr>
          <w:lang w:val="fr-CA"/>
        </w:rPr>
        <w:t xml:space="preserve">présentées par l’ACSTA </w:t>
      </w:r>
      <w:r>
        <w:rPr>
          <w:lang w:val="fr-CA"/>
        </w:rPr>
        <w:br/>
      </w:r>
      <w:r w:rsidRPr="00D70264">
        <w:rPr>
          <w:lang w:val="fr-CA"/>
        </w:rPr>
        <w:t xml:space="preserve">et l’ASFC pour une exemption conditionnelle aux exigences visant </w:t>
      </w:r>
      <w:r>
        <w:rPr>
          <w:lang w:val="fr-CA"/>
        </w:rPr>
        <w:br/>
      </w:r>
      <w:r w:rsidRPr="00D70264">
        <w:rPr>
          <w:lang w:val="fr-CA"/>
        </w:rPr>
        <w:t xml:space="preserve">la signalisation tactile prévues dans </w:t>
      </w:r>
      <w:r>
        <w:rPr>
          <w:lang w:val="fr-CA"/>
        </w:rPr>
        <w:br/>
      </w:r>
      <w:r w:rsidRPr="00D70264">
        <w:rPr>
          <w:lang w:val="fr-CA"/>
        </w:rPr>
        <w:t xml:space="preserve">le </w:t>
      </w:r>
      <w:r w:rsidRPr="00D70264">
        <w:rPr>
          <w:i/>
          <w:lang w:val="fr-CA"/>
        </w:rPr>
        <w:t>Règlement sur les transports accessibles aux personnes handicapées</w:t>
      </w:r>
      <w:r w:rsidRPr="00D70264">
        <w:rPr>
          <w:lang w:val="fr-CA"/>
        </w:rPr>
        <w:t xml:space="preserve"> : ce que nous avons entendu</w:t>
      </w:r>
      <w:r w:rsidR="00DE360D">
        <w:rPr>
          <w:lang w:val="fr-CA"/>
        </w:rPr>
        <w:t xml:space="preserve"> </w:t>
      </w:r>
    </w:p>
    <w:p w:rsidR="00DC0304" w:rsidRPr="004D25C1" w:rsidRDefault="00674F59" w:rsidP="004D25C1">
      <w:pPr>
        <w:spacing w:before="600" w:after="300" w:line="300" w:lineRule="auto"/>
        <w:rPr>
          <w:rFonts w:cstheme="minorBidi"/>
          <w:sz w:val="44"/>
          <w:szCs w:val="44"/>
          <w:lang w:val="fr-CA" w:eastAsia="en-CA"/>
        </w:rPr>
      </w:pPr>
      <w:r w:rsidRPr="004D25C1">
        <w:rPr>
          <w:rFonts w:cstheme="minorBidi"/>
          <w:sz w:val="44"/>
          <w:lang w:val="fr-CA"/>
        </w:rPr>
        <w:t>Office des transports du Canada</w:t>
      </w:r>
    </w:p>
    <w:p w:rsidR="00DC0304" w:rsidRPr="0029375F" w:rsidRDefault="00DC0304">
      <w:pPr>
        <w:rPr>
          <w:rFonts w:cstheme="minorBidi"/>
          <w:b/>
          <w:color w:val="7A0306"/>
          <w:sz w:val="60"/>
          <w:szCs w:val="60"/>
          <w:lang w:val="fr-CA" w:eastAsia="en-CA"/>
        </w:rPr>
      </w:pPr>
      <w:r w:rsidRPr="0029375F">
        <w:rPr>
          <w:noProof/>
          <w:lang w:val="en-US"/>
        </w:rPr>
        <w:drawing>
          <wp:anchor distT="0" distB="0" distL="114300" distR="114300" simplePos="0" relativeHeight="251659264" behindDoc="1" locked="1" layoutInCell="1" allowOverlap="1" wp14:anchorId="4EA2731A" wp14:editId="4CC3F338">
            <wp:simplePos x="0" y="0"/>
            <wp:positionH relativeFrom="page">
              <wp:align>left</wp:align>
            </wp:positionH>
            <wp:positionV relativeFrom="page">
              <wp:align>top</wp:align>
            </wp:positionV>
            <wp:extent cx="7778115" cy="10066020"/>
            <wp:effectExtent l="0" t="0" r="0" b="0"/>
            <wp:wrapNone/>
            <wp:docPr id="1" name="Picture 1" descr="&quot;&quot;"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OB_CD\IMAGES and Design Files\CAT\Guides\Guide cover E.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778749" cy="100666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375F">
        <w:rPr>
          <w:lang w:val="fr-CA"/>
        </w:rPr>
        <w:br w:type="page"/>
      </w:r>
    </w:p>
    <w:sdt>
      <w:sdtPr>
        <w:rPr>
          <w:b/>
          <w:lang w:val="en-CA"/>
        </w:rPr>
        <w:id w:val="1279919244"/>
        <w:docPartObj>
          <w:docPartGallery w:val="Table of Contents"/>
          <w:docPartUnique/>
        </w:docPartObj>
      </w:sdtPr>
      <w:sdtEndPr>
        <w:rPr>
          <w:b w:val="0"/>
          <w:bCs/>
          <w:noProof/>
        </w:rPr>
      </w:sdtEndPr>
      <w:sdtContent>
        <w:p w:rsidR="009B1E84" w:rsidRPr="00CB7BA3" w:rsidRDefault="00C276EC" w:rsidP="00CB7BA3">
          <w:pPr>
            <w:pStyle w:val="TOC1"/>
            <w:rPr>
              <w:b/>
              <w:sz w:val="32"/>
              <w:szCs w:val="32"/>
            </w:rPr>
          </w:pPr>
          <w:r w:rsidRPr="00CB7BA3">
            <w:rPr>
              <w:b/>
              <w:sz w:val="32"/>
              <w:szCs w:val="32"/>
            </w:rPr>
            <w:t>Table des matières</w:t>
          </w:r>
        </w:p>
        <w:p w:rsidR="002D7B81" w:rsidRDefault="00CB7BA3">
          <w:pPr>
            <w:pStyle w:val="TOC1"/>
            <w:rPr>
              <w:rFonts w:eastAsiaTheme="minorEastAsia" w:cstheme="minorBidi"/>
              <w:noProof/>
              <w:sz w:val="22"/>
              <w:szCs w:val="22"/>
              <w:lang w:val="en-US"/>
            </w:rPr>
          </w:pPr>
          <w:r>
            <w:rPr>
              <w:rFonts w:cstheme="minorHAnsi"/>
              <w:b/>
              <w:sz w:val="24"/>
            </w:rPr>
            <w:fldChar w:fldCharType="begin"/>
          </w:r>
          <w:r>
            <w:rPr>
              <w:rFonts w:cstheme="minorHAnsi"/>
              <w:b/>
              <w:sz w:val="24"/>
            </w:rPr>
            <w:instrText xml:space="preserve"> TOC \h \z \t "Heading 2,1,Heading 3,2" </w:instrText>
          </w:r>
          <w:r>
            <w:rPr>
              <w:rFonts w:cstheme="minorHAnsi"/>
              <w:b/>
              <w:sz w:val="24"/>
            </w:rPr>
            <w:fldChar w:fldCharType="separate"/>
          </w:r>
          <w:hyperlink w:anchor="_Toc171694978" w:history="1">
            <w:r w:rsidR="002D7B81" w:rsidRPr="001F1585">
              <w:rPr>
                <w:rStyle w:val="Hyperlink"/>
                <w:noProof/>
              </w:rPr>
              <w:t>Contexte</w:t>
            </w:r>
            <w:r w:rsidR="002D7B81">
              <w:rPr>
                <w:noProof/>
                <w:webHidden/>
              </w:rPr>
              <w:tab/>
            </w:r>
            <w:r w:rsidR="002D7B81">
              <w:rPr>
                <w:noProof/>
                <w:webHidden/>
              </w:rPr>
              <w:fldChar w:fldCharType="begin"/>
            </w:r>
            <w:r w:rsidR="002D7B81">
              <w:rPr>
                <w:noProof/>
                <w:webHidden/>
              </w:rPr>
              <w:instrText xml:space="preserve"> PAGEREF _Toc171694978 \h </w:instrText>
            </w:r>
            <w:r w:rsidR="002D7B81">
              <w:rPr>
                <w:noProof/>
                <w:webHidden/>
              </w:rPr>
            </w:r>
            <w:r w:rsidR="002D7B81">
              <w:rPr>
                <w:noProof/>
                <w:webHidden/>
              </w:rPr>
              <w:fldChar w:fldCharType="separate"/>
            </w:r>
            <w:r w:rsidR="002D7B81">
              <w:rPr>
                <w:noProof/>
                <w:webHidden/>
              </w:rPr>
              <w:t>3</w:t>
            </w:r>
            <w:r w:rsidR="002D7B81">
              <w:rPr>
                <w:noProof/>
                <w:webHidden/>
              </w:rPr>
              <w:fldChar w:fldCharType="end"/>
            </w:r>
          </w:hyperlink>
        </w:p>
        <w:p w:rsidR="002D7B81" w:rsidRDefault="00D06384">
          <w:pPr>
            <w:pStyle w:val="TOC1"/>
            <w:rPr>
              <w:rFonts w:eastAsiaTheme="minorEastAsia" w:cstheme="minorBidi"/>
              <w:noProof/>
              <w:sz w:val="22"/>
              <w:szCs w:val="22"/>
              <w:lang w:val="en-US"/>
            </w:rPr>
          </w:pPr>
          <w:hyperlink w:anchor="_Toc171694979" w:history="1">
            <w:r w:rsidR="002D7B81" w:rsidRPr="001F1585">
              <w:rPr>
                <w:rStyle w:val="Hyperlink"/>
                <w:noProof/>
              </w:rPr>
              <w:t>Réunion du 20 juin 2024</w:t>
            </w:r>
            <w:r w:rsidR="002D7B81">
              <w:rPr>
                <w:noProof/>
                <w:webHidden/>
              </w:rPr>
              <w:tab/>
            </w:r>
            <w:r w:rsidR="002D7B81">
              <w:rPr>
                <w:noProof/>
                <w:webHidden/>
              </w:rPr>
              <w:fldChar w:fldCharType="begin"/>
            </w:r>
            <w:r w:rsidR="002D7B81">
              <w:rPr>
                <w:noProof/>
                <w:webHidden/>
              </w:rPr>
              <w:instrText xml:space="preserve"> PAGEREF _Toc171694979 \h </w:instrText>
            </w:r>
            <w:r w:rsidR="002D7B81">
              <w:rPr>
                <w:noProof/>
                <w:webHidden/>
              </w:rPr>
            </w:r>
            <w:r w:rsidR="002D7B81">
              <w:rPr>
                <w:noProof/>
                <w:webHidden/>
              </w:rPr>
              <w:fldChar w:fldCharType="separate"/>
            </w:r>
            <w:r w:rsidR="002D7B81">
              <w:rPr>
                <w:noProof/>
                <w:webHidden/>
              </w:rPr>
              <w:t>4</w:t>
            </w:r>
            <w:r w:rsidR="002D7B81">
              <w:rPr>
                <w:noProof/>
                <w:webHidden/>
              </w:rPr>
              <w:fldChar w:fldCharType="end"/>
            </w:r>
          </w:hyperlink>
        </w:p>
        <w:p w:rsidR="002D7B81" w:rsidRDefault="00D06384">
          <w:pPr>
            <w:pStyle w:val="TOC2"/>
            <w:rPr>
              <w:rFonts w:eastAsiaTheme="minorEastAsia" w:cstheme="minorBidi"/>
              <w:sz w:val="22"/>
              <w:szCs w:val="22"/>
              <w:lang w:val="en-US"/>
            </w:rPr>
          </w:pPr>
          <w:hyperlink w:anchor="_Toc171694980" w:history="1">
            <w:r w:rsidR="002D7B81" w:rsidRPr="001F1585">
              <w:rPr>
                <w:rStyle w:val="Hyperlink"/>
              </w:rPr>
              <w:t>Présentation par l’ACSTA</w:t>
            </w:r>
            <w:r w:rsidR="002D7B81">
              <w:rPr>
                <w:webHidden/>
              </w:rPr>
              <w:tab/>
            </w:r>
            <w:r w:rsidR="002D7B81">
              <w:rPr>
                <w:webHidden/>
              </w:rPr>
              <w:fldChar w:fldCharType="begin"/>
            </w:r>
            <w:r w:rsidR="002D7B81">
              <w:rPr>
                <w:webHidden/>
              </w:rPr>
              <w:instrText xml:space="preserve"> PAGEREF _Toc171694980 \h </w:instrText>
            </w:r>
            <w:r w:rsidR="002D7B81">
              <w:rPr>
                <w:webHidden/>
              </w:rPr>
            </w:r>
            <w:r w:rsidR="002D7B81">
              <w:rPr>
                <w:webHidden/>
              </w:rPr>
              <w:fldChar w:fldCharType="separate"/>
            </w:r>
            <w:r w:rsidR="002D7B81">
              <w:rPr>
                <w:webHidden/>
              </w:rPr>
              <w:t>4</w:t>
            </w:r>
            <w:r w:rsidR="002D7B81">
              <w:rPr>
                <w:webHidden/>
              </w:rPr>
              <w:fldChar w:fldCharType="end"/>
            </w:r>
          </w:hyperlink>
        </w:p>
        <w:p w:rsidR="002D7B81" w:rsidRDefault="00D06384">
          <w:pPr>
            <w:pStyle w:val="TOC2"/>
            <w:rPr>
              <w:rFonts w:eastAsiaTheme="minorEastAsia" w:cstheme="minorBidi"/>
              <w:sz w:val="22"/>
              <w:szCs w:val="22"/>
              <w:lang w:val="en-US"/>
            </w:rPr>
          </w:pPr>
          <w:hyperlink w:anchor="_Toc171694981" w:history="1">
            <w:r w:rsidR="002D7B81" w:rsidRPr="001F1585">
              <w:rPr>
                <w:rStyle w:val="Hyperlink"/>
                <w:lang w:val="fr-CA"/>
              </w:rPr>
              <w:t>Présentation par l’ASFC</w:t>
            </w:r>
            <w:r w:rsidR="002D7B81">
              <w:rPr>
                <w:webHidden/>
              </w:rPr>
              <w:tab/>
            </w:r>
            <w:r w:rsidR="002D7B81">
              <w:rPr>
                <w:webHidden/>
              </w:rPr>
              <w:fldChar w:fldCharType="begin"/>
            </w:r>
            <w:r w:rsidR="002D7B81">
              <w:rPr>
                <w:webHidden/>
              </w:rPr>
              <w:instrText xml:space="preserve"> PAGEREF _Toc171694981 \h </w:instrText>
            </w:r>
            <w:r w:rsidR="002D7B81">
              <w:rPr>
                <w:webHidden/>
              </w:rPr>
            </w:r>
            <w:r w:rsidR="002D7B81">
              <w:rPr>
                <w:webHidden/>
              </w:rPr>
              <w:fldChar w:fldCharType="separate"/>
            </w:r>
            <w:r w:rsidR="002D7B81">
              <w:rPr>
                <w:webHidden/>
              </w:rPr>
              <w:t>5</w:t>
            </w:r>
            <w:r w:rsidR="002D7B81">
              <w:rPr>
                <w:webHidden/>
              </w:rPr>
              <w:fldChar w:fldCharType="end"/>
            </w:r>
          </w:hyperlink>
        </w:p>
        <w:p w:rsidR="002D7B81" w:rsidRDefault="00D06384">
          <w:pPr>
            <w:pStyle w:val="TOC2"/>
            <w:rPr>
              <w:rFonts w:eastAsiaTheme="minorEastAsia" w:cstheme="minorBidi"/>
              <w:sz w:val="22"/>
              <w:szCs w:val="22"/>
              <w:lang w:val="en-US"/>
            </w:rPr>
          </w:pPr>
          <w:hyperlink w:anchor="_Toc171694982" w:history="1">
            <w:r w:rsidR="002D7B81" w:rsidRPr="001F1585">
              <w:rPr>
                <w:rStyle w:val="Hyperlink"/>
              </w:rPr>
              <w:t>Discussions</w:t>
            </w:r>
            <w:r w:rsidR="002D7B81">
              <w:rPr>
                <w:webHidden/>
              </w:rPr>
              <w:tab/>
            </w:r>
            <w:r w:rsidR="002D7B81">
              <w:rPr>
                <w:webHidden/>
              </w:rPr>
              <w:fldChar w:fldCharType="begin"/>
            </w:r>
            <w:r w:rsidR="002D7B81">
              <w:rPr>
                <w:webHidden/>
              </w:rPr>
              <w:instrText xml:space="preserve"> PAGEREF _Toc171694982 \h </w:instrText>
            </w:r>
            <w:r w:rsidR="002D7B81">
              <w:rPr>
                <w:webHidden/>
              </w:rPr>
            </w:r>
            <w:r w:rsidR="002D7B81">
              <w:rPr>
                <w:webHidden/>
              </w:rPr>
              <w:fldChar w:fldCharType="separate"/>
            </w:r>
            <w:r w:rsidR="002D7B81">
              <w:rPr>
                <w:webHidden/>
              </w:rPr>
              <w:t>7</w:t>
            </w:r>
            <w:r w:rsidR="002D7B81">
              <w:rPr>
                <w:webHidden/>
              </w:rPr>
              <w:fldChar w:fldCharType="end"/>
            </w:r>
          </w:hyperlink>
        </w:p>
        <w:p w:rsidR="002D7B81" w:rsidRDefault="00D06384">
          <w:pPr>
            <w:pStyle w:val="TOC1"/>
            <w:rPr>
              <w:rFonts w:eastAsiaTheme="minorEastAsia" w:cstheme="minorBidi"/>
              <w:noProof/>
              <w:sz w:val="22"/>
              <w:szCs w:val="22"/>
              <w:lang w:val="en-US"/>
            </w:rPr>
          </w:pPr>
          <w:hyperlink w:anchor="_Toc171694983" w:history="1">
            <w:r w:rsidR="002D7B81" w:rsidRPr="001F1585">
              <w:rPr>
                <w:rStyle w:val="Hyperlink"/>
                <w:noProof/>
              </w:rPr>
              <w:t>Prochaines étapes</w:t>
            </w:r>
            <w:r w:rsidR="002D7B81">
              <w:rPr>
                <w:noProof/>
                <w:webHidden/>
              </w:rPr>
              <w:tab/>
            </w:r>
            <w:r w:rsidR="002D7B81">
              <w:rPr>
                <w:noProof/>
                <w:webHidden/>
              </w:rPr>
              <w:fldChar w:fldCharType="begin"/>
            </w:r>
            <w:r w:rsidR="002D7B81">
              <w:rPr>
                <w:noProof/>
                <w:webHidden/>
              </w:rPr>
              <w:instrText xml:space="preserve"> PAGEREF _Toc171694983 \h </w:instrText>
            </w:r>
            <w:r w:rsidR="002D7B81">
              <w:rPr>
                <w:noProof/>
                <w:webHidden/>
              </w:rPr>
            </w:r>
            <w:r w:rsidR="002D7B81">
              <w:rPr>
                <w:noProof/>
                <w:webHidden/>
              </w:rPr>
              <w:fldChar w:fldCharType="separate"/>
            </w:r>
            <w:r w:rsidR="002D7B81">
              <w:rPr>
                <w:noProof/>
                <w:webHidden/>
              </w:rPr>
              <w:t>8</w:t>
            </w:r>
            <w:r w:rsidR="002D7B81">
              <w:rPr>
                <w:noProof/>
                <w:webHidden/>
              </w:rPr>
              <w:fldChar w:fldCharType="end"/>
            </w:r>
          </w:hyperlink>
        </w:p>
        <w:p w:rsidR="001E20A7" w:rsidRDefault="00CB7BA3" w:rsidP="001E20A7">
          <w:pPr>
            <w:rPr>
              <w:bCs/>
              <w:noProof/>
            </w:rPr>
          </w:pPr>
          <w:r>
            <w:rPr>
              <w:rFonts w:cstheme="minorHAnsi"/>
              <w:b/>
              <w:sz w:val="24"/>
              <w:lang w:val="fr-CA"/>
            </w:rPr>
            <w:fldChar w:fldCharType="end"/>
          </w:r>
        </w:p>
      </w:sdtContent>
    </w:sdt>
    <w:p w:rsidR="000D0581" w:rsidRPr="00650146" w:rsidRDefault="00D8571D" w:rsidP="001E20A7">
      <w:pPr>
        <w:rPr>
          <w:bCs/>
          <w:noProof/>
          <w:lang w:val="fr-CA"/>
        </w:rPr>
      </w:pPr>
      <w:r w:rsidRPr="0029375F">
        <w:rPr>
          <w:b/>
          <w:noProof/>
          <w:lang w:val="en-US"/>
        </w:rPr>
        <mc:AlternateContent>
          <mc:Choice Requires="wps">
            <w:drawing>
              <wp:anchor distT="0" distB="0" distL="114300" distR="114300" simplePos="0" relativeHeight="251665408" behindDoc="0" locked="0" layoutInCell="1" allowOverlap="1" wp14:anchorId="673981D6" wp14:editId="291DA4B0">
                <wp:simplePos x="0" y="0"/>
                <wp:positionH relativeFrom="margin">
                  <wp:posOffset>-112143</wp:posOffset>
                </wp:positionH>
                <wp:positionV relativeFrom="paragraph">
                  <wp:posOffset>-103517</wp:posOffset>
                </wp:positionV>
                <wp:extent cx="6153150" cy="4235570"/>
                <wp:effectExtent l="0" t="0" r="19050" b="12700"/>
                <wp:wrapNone/>
                <wp:docPr id="4" name="Rectangle 4" descr="&quot;&quot;" title="&quot;&quot;"/>
                <wp:cNvGraphicFramePr/>
                <a:graphic xmlns:a="http://schemas.openxmlformats.org/drawingml/2006/main">
                  <a:graphicData uri="http://schemas.microsoft.com/office/word/2010/wordprocessingShape">
                    <wps:wsp>
                      <wps:cNvSpPr/>
                      <wps:spPr>
                        <a:xfrm>
                          <a:off x="0" y="0"/>
                          <a:ext cx="6153150" cy="4235570"/>
                        </a:xfrm>
                        <a:prstGeom prst="rect">
                          <a:avLst/>
                        </a:prstGeom>
                        <a:noFill/>
                        <a:ln w="9525">
                          <a:solidFill>
                            <a:srgbClr val="7A030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A64BA" id="Rectangle 4" o:spid="_x0000_s1026" alt="Title: &quot;&quot; - Description: &quot;&quot;" style="position:absolute;margin-left:-8.85pt;margin-top:-8.15pt;width:484.5pt;height:3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" filled="f" strokecolor="#7a0306">
                <w10:wrap anchorx="margin"/>
              </v:rect>
            </w:pict>
          </mc:Fallback>
        </mc:AlternateContent>
      </w:r>
      <w:r w:rsidR="006720D9" w:rsidRPr="0029375F">
        <w:rPr>
          <w:b/>
          <w:lang w:val="fr-CA"/>
        </w:rPr>
        <w:t>Avertissement</w:t>
      </w:r>
      <w:r w:rsidR="00886BC4">
        <w:rPr>
          <w:b/>
          <w:lang w:val="fr-CA"/>
        </w:rPr>
        <w:t> </w:t>
      </w:r>
      <w:r w:rsidR="006720D9" w:rsidRPr="0029375F">
        <w:rPr>
          <w:lang w:val="fr-CA"/>
        </w:rPr>
        <w:t xml:space="preserve">: </w:t>
      </w:r>
      <w:r w:rsidR="000D0581" w:rsidRPr="007A6843">
        <w:rPr>
          <w:lang w:val="fr-CA"/>
        </w:rPr>
        <w:t xml:space="preserve">À moins d’avis contraire, il est interdit de reproduire le contenu de cette publication, en totalité ou en partie, à des fins de diffusion commerciale sans avoir obtenu au préalable la permission écrite de l’Office des transports du Canada. Si vous souhaitez obtenir du gouvernement du Canada les droits de reproduction du contenu à des fins commerciales, veuillez demander l’affranchissement du droit d’auteur de la Couronne en communiquant avec : </w:t>
      </w:r>
    </w:p>
    <w:p w:rsidR="000D0581" w:rsidRDefault="000D0581" w:rsidP="000D0581">
      <w:pPr>
        <w:spacing w:before="240" w:after="0"/>
        <w:rPr>
          <w:lang w:val="fr-CA"/>
        </w:rPr>
      </w:pPr>
      <w:r w:rsidRPr="007A6843">
        <w:rPr>
          <w:lang w:val="fr-CA"/>
        </w:rPr>
        <w:t xml:space="preserve">Office des transports du Canada </w:t>
      </w:r>
    </w:p>
    <w:p w:rsidR="000D0581" w:rsidRDefault="000D0581" w:rsidP="000D0581">
      <w:pPr>
        <w:spacing w:after="0"/>
        <w:rPr>
          <w:lang w:val="fr-CA"/>
        </w:rPr>
      </w:pPr>
      <w:r w:rsidRPr="007A6843">
        <w:rPr>
          <w:lang w:val="fr-CA"/>
        </w:rPr>
        <w:t>60, rue Laval, unité 01</w:t>
      </w:r>
      <w:r>
        <w:rPr>
          <w:lang w:val="fr-CA"/>
        </w:rPr>
        <w:t xml:space="preserve"> Gatineau, QC, J8X 3G9</w:t>
      </w:r>
    </w:p>
    <w:p w:rsidR="000D0581" w:rsidRPr="00E768C5" w:rsidRDefault="00A52ECD" w:rsidP="000D0581">
      <w:pPr>
        <w:pStyle w:val="Header"/>
        <w:rPr>
          <w:lang w:val="fr-CA"/>
        </w:rPr>
      </w:pPr>
      <w:r w:rsidRPr="00C16B60">
        <w:rPr>
          <w:rStyle w:val="ui-provider"/>
          <w:lang w:val="fr-CA"/>
        </w:rPr>
        <w:t>Courriel</w:t>
      </w:r>
      <w:r w:rsidR="00E768C5" w:rsidRPr="00E768C5">
        <w:rPr>
          <w:lang w:val="fr-CA"/>
        </w:rPr>
        <w:t xml:space="preserve"> </w:t>
      </w:r>
      <w:r w:rsidR="000D0581" w:rsidRPr="00E768C5">
        <w:rPr>
          <w:lang w:val="fr-CA"/>
        </w:rPr>
        <w:t xml:space="preserve">: </w:t>
      </w:r>
      <w:hyperlink r:id="rId9" w:history="1">
        <w:r w:rsidR="000D0581" w:rsidRPr="00E768C5">
          <w:rPr>
            <w:rStyle w:val="Hyperlink"/>
            <w:lang w:val="fr-CA"/>
          </w:rPr>
          <w:t>info@otc-cta.gc.ca</w:t>
        </w:r>
      </w:hyperlink>
      <w:r w:rsidR="000D0581" w:rsidRPr="00E768C5">
        <w:rPr>
          <w:lang w:val="fr-CA"/>
        </w:rPr>
        <w:t xml:space="preserve"> </w:t>
      </w:r>
    </w:p>
    <w:p w:rsidR="000D0581" w:rsidRDefault="00E768C5" w:rsidP="000D0581">
      <w:pPr>
        <w:pStyle w:val="Header"/>
      </w:pPr>
      <w:r>
        <w:t xml:space="preserve">Site </w:t>
      </w:r>
      <w:r w:rsidR="000D0581">
        <w:t>Web</w:t>
      </w:r>
      <w:r>
        <w:t xml:space="preserve"> </w:t>
      </w:r>
      <w:r w:rsidR="000D0581">
        <w:t xml:space="preserve">: </w:t>
      </w:r>
      <w:hyperlink r:id="rId10" w:history="1">
        <w:r w:rsidR="000D0581" w:rsidRPr="00E768C5">
          <w:rPr>
            <w:rStyle w:val="Hyperlink"/>
          </w:rPr>
          <w:t>otc-cta.gc.ca</w:t>
        </w:r>
      </w:hyperlink>
    </w:p>
    <w:p w:rsidR="00B73FBC" w:rsidRDefault="000D0581" w:rsidP="000D0581">
      <w:pPr>
        <w:spacing w:before="240"/>
        <w:rPr>
          <w:lang w:val="fr-CA"/>
        </w:rPr>
      </w:pPr>
      <w:r w:rsidRPr="007A6843">
        <w:rPr>
          <w:lang w:val="fr-CA"/>
        </w:rPr>
        <w:t>© Sa Majesté le Roi du chef du Canada, représenté par le ministre des Transports</w:t>
      </w:r>
      <w:r>
        <w:rPr>
          <w:lang w:val="fr-CA"/>
        </w:rPr>
        <w:t>, 2024</w:t>
      </w:r>
    </w:p>
    <w:p w:rsidR="00D8571D" w:rsidRDefault="00D06384" w:rsidP="00D06384">
      <w:pPr>
        <w:rPr>
          <w:lang w:val="fr-CA"/>
        </w:rPr>
      </w:pPr>
      <w:r w:rsidRPr="00D06384">
        <w:rPr>
          <w:lang w:val="fr-CA"/>
        </w:rPr>
        <w:t>Cata</w:t>
      </w:r>
      <w:r>
        <w:rPr>
          <w:lang w:val="fr-CA"/>
        </w:rPr>
        <w:t xml:space="preserve">logue Numéro : </w:t>
      </w:r>
      <w:bookmarkStart w:id="0" w:name="_GoBack"/>
      <w:bookmarkEnd w:id="0"/>
      <w:r>
        <w:rPr>
          <w:lang w:val="fr-CA"/>
        </w:rPr>
        <w:t>TT4-93/2024F-PDF</w:t>
      </w:r>
      <w:r>
        <w:rPr>
          <w:lang w:val="fr-CA"/>
        </w:rPr>
        <w:br/>
      </w:r>
      <w:r w:rsidRPr="00D06384">
        <w:rPr>
          <w:lang w:val="fr-CA"/>
        </w:rPr>
        <w:t>ISBN : 978-0-660-73047-9</w:t>
      </w:r>
    </w:p>
    <w:p w:rsidR="009E68E5" w:rsidRPr="000D0581" w:rsidRDefault="000D0581" w:rsidP="000D0581">
      <w:pPr>
        <w:rPr>
          <w:lang w:val="fr-CA"/>
        </w:rPr>
      </w:pPr>
      <w:r w:rsidRPr="000D0581">
        <w:rPr>
          <w:lang w:val="fr-CA"/>
        </w:rPr>
        <w:t xml:space="preserve">Disponible sur divers supports </w:t>
      </w:r>
      <w:r w:rsidRPr="000D0581">
        <w:rPr>
          <w:lang w:val="fr-CA"/>
        </w:rPr>
        <w:br/>
      </w:r>
      <w:proofErr w:type="spellStart"/>
      <w:r w:rsidRPr="007A6843">
        <w:rPr>
          <w:lang w:val="fr-CA"/>
        </w:rPr>
        <w:t>Also</w:t>
      </w:r>
      <w:proofErr w:type="spellEnd"/>
      <w:r w:rsidRPr="007A6843">
        <w:rPr>
          <w:lang w:val="fr-CA"/>
        </w:rPr>
        <w:t xml:space="preserve"> </w:t>
      </w:r>
      <w:proofErr w:type="spellStart"/>
      <w:r w:rsidRPr="007A6843">
        <w:rPr>
          <w:lang w:val="fr-CA"/>
        </w:rPr>
        <w:t>available</w:t>
      </w:r>
      <w:proofErr w:type="spellEnd"/>
      <w:r w:rsidRPr="007A6843">
        <w:rPr>
          <w:lang w:val="fr-CA"/>
        </w:rPr>
        <w:t xml:space="preserve"> in English</w:t>
      </w:r>
      <w:r w:rsidR="00017083" w:rsidRPr="0029375F">
        <w:rPr>
          <w:lang w:val="fr-CA"/>
        </w:rPr>
        <w:t xml:space="preserve"> </w:t>
      </w:r>
      <w:r w:rsidR="009E68E5" w:rsidRPr="0029375F">
        <w:rPr>
          <w:lang w:val="fr-CA"/>
        </w:rPr>
        <w:br w:type="page"/>
      </w:r>
    </w:p>
    <w:p w:rsidR="00CF510F" w:rsidRPr="003B75EE" w:rsidRDefault="001E20A7" w:rsidP="008A299E">
      <w:pPr>
        <w:pStyle w:val="Heading2"/>
        <w:rPr>
          <w:lang w:val="fr-CA"/>
        </w:rPr>
      </w:pPr>
      <w:bookmarkStart w:id="1" w:name="_Toc171694978"/>
      <w:r w:rsidRPr="001E20A7">
        <w:rPr>
          <w:lang w:val="fr-CA"/>
        </w:rPr>
        <w:lastRenderedPageBreak/>
        <w:t>Contexte</w:t>
      </w:r>
      <w:bookmarkEnd w:id="1"/>
    </w:p>
    <w:p w:rsidR="001E20A7" w:rsidRPr="00AF253F" w:rsidRDefault="001E20A7" w:rsidP="001E20A7">
      <w:pPr>
        <w:rPr>
          <w:lang w:val="fr-CA"/>
        </w:rPr>
      </w:pPr>
      <w:r>
        <w:rPr>
          <w:lang w:val="fr-CA"/>
        </w:rPr>
        <w:t xml:space="preserve">L’Administration canadienne de la sûreté du transport aérien </w:t>
      </w:r>
      <w:r w:rsidRPr="00AF253F">
        <w:rPr>
          <w:lang w:val="fr-CA"/>
        </w:rPr>
        <w:t>(</w:t>
      </w:r>
      <w:r>
        <w:rPr>
          <w:lang w:val="fr-CA"/>
        </w:rPr>
        <w:t>ACSTA</w:t>
      </w:r>
      <w:r w:rsidRPr="00AF253F">
        <w:rPr>
          <w:lang w:val="fr-CA"/>
        </w:rPr>
        <w:t xml:space="preserve">) </w:t>
      </w:r>
      <w:r>
        <w:rPr>
          <w:lang w:val="fr-CA"/>
        </w:rPr>
        <w:t xml:space="preserve">et l’Agence des services frontaliers du </w:t>
      </w:r>
      <w:r w:rsidRPr="00AF253F">
        <w:rPr>
          <w:lang w:val="fr-CA"/>
        </w:rPr>
        <w:t>Canada (</w:t>
      </w:r>
      <w:r>
        <w:rPr>
          <w:lang w:val="fr-CA"/>
        </w:rPr>
        <w:t>ASFC</w:t>
      </w:r>
      <w:r w:rsidRPr="00AF253F">
        <w:rPr>
          <w:lang w:val="fr-CA"/>
        </w:rPr>
        <w:t xml:space="preserve">) </w:t>
      </w:r>
      <w:r>
        <w:rPr>
          <w:lang w:val="fr-CA"/>
        </w:rPr>
        <w:t>ont déposé des demandes auprès de l’Office des transports du Canada (Office) pour une autorisation à utiliser des mesures équivalentes à l’une ou l’autre de celles prescrites au paragraphe </w:t>
      </w:r>
      <w:r w:rsidRPr="00AF253F">
        <w:rPr>
          <w:lang w:val="fr-CA"/>
        </w:rPr>
        <w:t xml:space="preserve">235(1) </w:t>
      </w:r>
      <w:r>
        <w:rPr>
          <w:lang w:val="fr-CA"/>
        </w:rPr>
        <w:t xml:space="preserve">du </w:t>
      </w:r>
      <w:hyperlink r:id="rId11" w:history="1">
        <w:r>
          <w:rPr>
            <w:rStyle w:val="Hyperlink"/>
            <w:i/>
            <w:lang w:val="fr-CA"/>
          </w:rPr>
          <w:t>Règlement sur les transports accessibles aux personnes handicapées</w:t>
        </w:r>
      </w:hyperlink>
      <w:r w:rsidRPr="00AF253F">
        <w:rPr>
          <w:i/>
          <w:lang w:val="fr-CA"/>
        </w:rPr>
        <w:t xml:space="preserve"> </w:t>
      </w:r>
      <w:r w:rsidRPr="00AF253F">
        <w:rPr>
          <w:lang w:val="fr-CA"/>
        </w:rPr>
        <w:t>(</w:t>
      </w:r>
      <w:r>
        <w:rPr>
          <w:lang w:val="fr-CA"/>
        </w:rPr>
        <w:t>Règlement</w:t>
      </w:r>
      <w:r w:rsidRPr="00AF253F">
        <w:rPr>
          <w:lang w:val="fr-CA"/>
        </w:rPr>
        <w:t xml:space="preserve">). </w:t>
      </w:r>
      <w:r>
        <w:rPr>
          <w:lang w:val="fr-CA"/>
        </w:rPr>
        <w:t xml:space="preserve">Selon ce règlement, les deux entités doivent veiller à ce que la signalisation qui relève d’elles soit conforme aux exigences précises prévues dans la Norme nationale du Canada CSA/ASC B651:23, afin qu’elle soit dans un format </w:t>
      </w:r>
      <w:r w:rsidRPr="00AF253F">
        <w:rPr>
          <w:lang w:val="fr-CA"/>
        </w:rPr>
        <w:t xml:space="preserve">accessible </w:t>
      </w:r>
      <w:r>
        <w:rPr>
          <w:lang w:val="fr-CA"/>
        </w:rPr>
        <w:t>aux personnes handicapées</w:t>
      </w:r>
      <w:r w:rsidRPr="00AF253F">
        <w:rPr>
          <w:lang w:val="fr-CA"/>
        </w:rPr>
        <w:t xml:space="preserve">. </w:t>
      </w:r>
    </w:p>
    <w:p w:rsidR="001E20A7" w:rsidRPr="00AF253F" w:rsidRDefault="001E20A7" w:rsidP="001E20A7">
      <w:pPr>
        <w:rPr>
          <w:lang w:val="fr-CA"/>
        </w:rPr>
      </w:pPr>
      <w:r>
        <w:rPr>
          <w:lang w:val="fr-CA"/>
        </w:rPr>
        <w:t>Le 10 avril </w:t>
      </w:r>
      <w:r w:rsidRPr="00AF253F">
        <w:rPr>
          <w:lang w:val="fr-CA"/>
        </w:rPr>
        <w:t xml:space="preserve">2024, </w:t>
      </w:r>
      <w:r>
        <w:rPr>
          <w:lang w:val="fr-CA"/>
        </w:rPr>
        <w:t>l’Office a émis les lettres-décisions</w:t>
      </w:r>
      <w:r w:rsidRPr="00AF253F">
        <w:rPr>
          <w:lang w:val="fr-CA"/>
        </w:rPr>
        <w:t xml:space="preserve"> </w:t>
      </w:r>
      <w:hyperlink r:id="rId12" w:history="1">
        <w:r w:rsidRPr="00AF253F">
          <w:rPr>
            <w:rStyle w:val="Hyperlink"/>
            <w:lang w:val="fr-CA"/>
          </w:rPr>
          <w:t>LET-AT-A-20-2024</w:t>
        </w:r>
      </w:hyperlink>
      <w:r w:rsidRPr="00AF253F">
        <w:rPr>
          <w:lang w:val="fr-CA"/>
        </w:rPr>
        <w:t xml:space="preserve"> </w:t>
      </w:r>
      <w:r>
        <w:rPr>
          <w:lang w:val="fr-CA"/>
        </w:rPr>
        <w:t>et</w:t>
      </w:r>
      <w:r w:rsidRPr="00AF253F">
        <w:rPr>
          <w:lang w:val="fr-CA"/>
        </w:rPr>
        <w:t xml:space="preserve"> </w:t>
      </w:r>
      <w:hyperlink r:id="rId13" w:history="1">
        <w:r w:rsidRPr="00AF253F">
          <w:rPr>
            <w:rStyle w:val="Hyperlink"/>
            <w:lang w:val="fr-CA"/>
          </w:rPr>
          <w:t>LET-AT-A-21-2024</w:t>
        </w:r>
      </w:hyperlink>
      <w:r w:rsidRPr="00AF253F">
        <w:rPr>
          <w:lang w:val="fr-CA"/>
        </w:rPr>
        <w:t xml:space="preserve"> </w:t>
      </w:r>
      <w:r>
        <w:rPr>
          <w:lang w:val="fr-CA"/>
        </w:rPr>
        <w:t>dans lesquelles il limite son examen des demandes d’</w:t>
      </w:r>
      <w:r w:rsidRPr="00AF253F">
        <w:rPr>
          <w:lang w:val="fr-CA"/>
        </w:rPr>
        <w:t xml:space="preserve">exemption </w:t>
      </w:r>
      <w:r>
        <w:rPr>
          <w:lang w:val="fr-CA"/>
        </w:rPr>
        <w:t>à la seule exigence visant la signalisation tactile prévue à l’alinéa </w:t>
      </w:r>
      <w:r w:rsidRPr="00AF253F">
        <w:rPr>
          <w:lang w:val="fr-CA"/>
        </w:rPr>
        <w:t xml:space="preserve">235(1)d) </w:t>
      </w:r>
      <w:r>
        <w:rPr>
          <w:lang w:val="fr-CA"/>
        </w:rPr>
        <w:t>du Règlement</w:t>
      </w:r>
      <w:r w:rsidRPr="00AF253F">
        <w:rPr>
          <w:lang w:val="fr-CA"/>
        </w:rPr>
        <w:t xml:space="preserve">. </w:t>
      </w:r>
    </w:p>
    <w:p w:rsidR="001E20A7" w:rsidRPr="00AF253F" w:rsidRDefault="001E20A7" w:rsidP="001E20A7">
      <w:pPr>
        <w:rPr>
          <w:lang w:val="fr-CA"/>
        </w:rPr>
      </w:pPr>
      <w:r>
        <w:rPr>
          <w:lang w:val="fr-CA"/>
        </w:rPr>
        <w:t>L’ACSTA</w:t>
      </w:r>
      <w:r w:rsidRPr="00AF253F">
        <w:rPr>
          <w:lang w:val="fr-CA"/>
        </w:rPr>
        <w:t xml:space="preserve"> </w:t>
      </w:r>
      <w:r>
        <w:rPr>
          <w:lang w:val="fr-CA"/>
        </w:rPr>
        <w:t>et l’ASFC</w:t>
      </w:r>
      <w:r w:rsidRPr="00AF253F">
        <w:rPr>
          <w:lang w:val="fr-CA"/>
        </w:rPr>
        <w:t xml:space="preserve"> </w:t>
      </w:r>
      <w:r>
        <w:rPr>
          <w:lang w:val="fr-CA"/>
        </w:rPr>
        <w:t xml:space="preserve">ont présenté leur </w:t>
      </w:r>
      <w:r w:rsidRPr="00082043">
        <w:rPr>
          <w:lang w:val="fr-CA"/>
        </w:rPr>
        <w:t xml:space="preserve">demande respective en se fondant sur le principe que leur mesure de rechange proposée, </w:t>
      </w:r>
      <w:r>
        <w:rPr>
          <w:lang w:val="fr-CA"/>
        </w:rPr>
        <w:t xml:space="preserve">à savoir </w:t>
      </w:r>
      <w:r w:rsidRPr="00082043">
        <w:rPr>
          <w:lang w:val="fr-CA"/>
        </w:rPr>
        <w:t xml:space="preserve">un livret tactile pour les passagers aveugles ou malvoyants, </w:t>
      </w:r>
      <w:r>
        <w:rPr>
          <w:lang w:val="fr-CA"/>
        </w:rPr>
        <w:t>offre un niveau d’accessibilité</w:t>
      </w:r>
      <w:r w:rsidRPr="00082043">
        <w:rPr>
          <w:lang w:val="fr-CA"/>
        </w:rPr>
        <w:t xml:space="preserve"> équivalent</w:t>
      </w:r>
      <w:r>
        <w:rPr>
          <w:lang w:val="fr-CA"/>
        </w:rPr>
        <w:t xml:space="preserve"> ou supérieur à ce qui est</w:t>
      </w:r>
      <w:r w:rsidRPr="00082043">
        <w:rPr>
          <w:lang w:val="fr-CA"/>
        </w:rPr>
        <w:t xml:space="preserve"> </w:t>
      </w:r>
      <w:r>
        <w:rPr>
          <w:lang w:val="fr-CA"/>
        </w:rPr>
        <w:t>exigé à l’alinéa </w:t>
      </w:r>
      <w:r w:rsidRPr="00AF253F">
        <w:rPr>
          <w:lang w:val="fr-CA"/>
        </w:rPr>
        <w:t xml:space="preserve">235(1)d) </w:t>
      </w:r>
      <w:r>
        <w:rPr>
          <w:lang w:val="fr-CA"/>
        </w:rPr>
        <w:t xml:space="preserve">du Règlement. </w:t>
      </w:r>
      <w:r w:rsidRPr="00082043">
        <w:rPr>
          <w:lang w:val="fr-CA"/>
        </w:rPr>
        <w:t xml:space="preserve">L’ACSTA et l’ASFC </w:t>
      </w:r>
      <w:r w:rsidRPr="00B4589D">
        <w:rPr>
          <w:lang w:val="fr-CA"/>
        </w:rPr>
        <w:t xml:space="preserve">affirment toutes deux que le livret tactile </w:t>
      </w:r>
      <w:r>
        <w:rPr>
          <w:lang w:val="fr-CA"/>
        </w:rPr>
        <w:t>réunit,</w:t>
      </w:r>
      <w:r w:rsidRPr="00B4589D">
        <w:rPr>
          <w:lang w:val="fr-CA"/>
        </w:rPr>
        <w:t xml:space="preserve"> </w:t>
      </w:r>
      <w:r w:rsidRPr="00082043">
        <w:rPr>
          <w:lang w:val="fr-CA"/>
        </w:rPr>
        <w:t>en un seul point de référence que les passagers peuvent lire</w:t>
      </w:r>
      <w:r>
        <w:rPr>
          <w:lang w:val="fr-CA"/>
        </w:rPr>
        <w:t>,</w:t>
      </w:r>
      <w:r w:rsidRPr="00B4589D">
        <w:rPr>
          <w:lang w:val="fr-CA"/>
        </w:rPr>
        <w:t xml:space="preserve"> toutes les informations réglementaires figurant sur les panneaux de signalisation</w:t>
      </w:r>
      <w:r>
        <w:rPr>
          <w:lang w:val="fr-CA"/>
        </w:rPr>
        <w:t>. Avec le livret tactile, le passager ayant une déficience visuelle sera mieux servi qu’avec l’actuelle exigence selon laquelle les indicateurs tactiles doivent figurer directement sur les panneaux de signalisation</w:t>
      </w:r>
      <w:r w:rsidRPr="00AF253F">
        <w:rPr>
          <w:lang w:val="fr-CA"/>
        </w:rPr>
        <w:t>,</w:t>
      </w:r>
      <w:r>
        <w:rPr>
          <w:lang w:val="fr-CA"/>
        </w:rPr>
        <w:t xml:space="preserve"> qui sont souvent ou habituellement hors de la portée du passager. Dans le livret tactile, les informations sont également en gros caractères et en caractères en relief, en plus d’une version en braille, dans les deux langues officielles. </w:t>
      </w:r>
    </w:p>
    <w:p w:rsidR="00DF2854" w:rsidRPr="001E20A7" w:rsidRDefault="001E20A7" w:rsidP="001E20A7">
      <w:pPr>
        <w:rPr>
          <w:lang w:val="fr-CA"/>
        </w:rPr>
      </w:pPr>
      <w:r>
        <w:rPr>
          <w:lang w:val="fr-CA"/>
        </w:rPr>
        <w:t>L’Office</w:t>
      </w:r>
      <w:r w:rsidRPr="00235576">
        <w:rPr>
          <w:lang w:val="fr-CA"/>
        </w:rPr>
        <w:t xml:space="preserve"> </w:t>
      </w:r>
      <w:r>
        <w:rPr>
          <w:lang w:val="fr-CA"/>
        </w:rPr>
        <w:t xml:space="preserve">a ouvert les </w:t>
      </w:r>
      <w:hyperlink r:id="rId14" w:history="1">
        <w:r w:rsidRPr="00C035A2">
          <w:rPr>
            <w:rStyle w:val="Hyperlink"/>
            <w:lang w:val="fr-CA"/>
          </w:rPr>
          <w:t>consultations le 1</w:t>
        </w:r>
        <w:r w:rsidR="00C035A2" w:rsidRPr="00C035A2">
          <w:rPr>
            <w:rStyle w:val="Hyperlink"/>
            <w:lang w:val="fr-CA"/>
          </w:rPr>
          <w:t>1</w:t>
        </w:r>
        <w:r w:rsidRPr="00C035A2">
          <w:rPr>
            <w:rStyle w:val="Hyperlink"/>
            <w:lang w:val="fr-CA"/>
          </w:rPr>
          <w:t> avril 2024</w:t>
        </w:r>
      </w:hyperlink>
      <w:r w:rsidRPr="00AF253F">
        <w:rPr>
          <w:lang w:val="fr-CA"/>
        </w:rPr>
        <w:t xml:space="preserve">, </w:t>
      </w:r>
      <w:r>
        <w:rPr>
          <w:lang w:val="fr-CA"/>
        </w:rPr>
        <w:t xml:space="preserve">car il souhaitait recueillir des commentaires sur les demandes déposées par l’ACSTA et l’ASFC. Or, à la suite d’une requête reçue de représentants de la communauté des personnes handicapées </w:t>
      </w:r>
      <w:r w:rsidRPr="00AF253F">
        <w:rPr>
          <w:lang w:val="fr-CA"/>
        </w:rPr>
        <w:t>(commun</w:t>
      </w:r>
      <w:r>
        <w:rPr>
          <w:lang w:val="fr-CA"/>
        </w:rPr>
        <w:t>auté</w:t>
      </w:r>
      <w:r w:rsidRPr="00AF253F">
        <w:rPr>
          <w:lang w:val="fr-CA"/>
        </w:rPr>
        <w:t>),</w:t>
      </w:r>
      <w:r>
        <w:rPr>
          <w:lang w:val="fr-CA"/>
        </w:rPr>
        <w:t xml:space="preserve"> le personnel de l’Office a convoqué une réunion le 20 juin </w:t>
      </w:r>
      <w:r w:rsidRPr="00AF253F">
        <w:rPr>
          <w:lang w:val="fr-CA"/>
        </w:rPr>
        <w:t xml:space="preserve">2024. </w:t>
      </w:r>
      <w:r>
        <w:rPr>
          <w:lang w:val="fr-CA"/>
        </w:rPr>
        <w:t>L’objectif était que l’ACSTA</w:t>
      </w:r>
      <w:r w:rsidRPr="00AF253F">
        <w:rPr>
          <w:lang w:val="fr-CA"/>
        </w:rPr>
        <w:t xml:space="preserve"> </w:t>
      </w:r>
      <w:r>
        <w:rPr>
          <w:lang w:val="fr-CA"/>
        </w:rPr>
        <w:t>et</w:t>
      </w:r>
      <w:r w:rsidRPr="00AF253F">
        <w:rPr>
          <w:lang w:val="fr-CA"/>
        </w:rPr>
        <w:t xml:space="preserve"> </w:t>
      </w:r>
      <w:r>
        <w:rPr>
          <w:lang w:val="fr-CA"/>
        </w:rPr>
        <w:t>l’ASFC</w:t>
      </w:r>
      <w:r w:rsidRPr="00AF253F">
        <w:rPr>
          <w:lang w:val="fr-CA"/>
        </w:rPr>
        <w:t xml:space="preserve"> </w:t>
      </w:r>
      <w:r>
        <w:rPr>
          <w:lang w:val="fr-CA"/>
        </w:rPr>
        <w:t xml:space="preserve">fournissent plus de contexte concernant leurs demandes afin que la communauté les comprenne mieux et qu’elle puisse participer à la consultation et présenter des commentaires à l’Office. Nous avons invité les organisations suivantes à la réunion : Conseil des Canadiens avec déficiences (CCD), </w:t>
      </w:r>
      <w:r w:rsidRPr="00AF253F">
        <w:rPr>
          <w:lang w:val="fr-CA"/>
        </w:rPr>
        <w:lastRenderedPageBreak/>
        <w:t xml:space="preserve">Confédération des organismes de personnes handicapées du Québec (COPHAN), </w:t>
      </w:r>
      <w:r>
        <w:rPr>
          <w:lang w:val="fr-CA"/>
        </w:rPr>
        <w:t>Conseil canadien des Aveugles</w:t>
      </w:r>
      <w:r w:rsidRPr="00AF253F">
        <w:rPr>
          <w:lang w:val="fr-CA"/>
        </w:rPr>
        <w:t xml:space="preserve">, </w:t>
      </w:r>
      <w:r w:rsidRPr="00F14B27">
        <w:rPr>
          <w:lang w:val="fr-CA"/>
        </w:rPr>
        <w:t>Institut national canadien pour les aveugles (INCA)</w:t>
      </w:r>
      <w:r w:rsidRPr="00AF253F">
        <w:rPr>
          <w:lang w:val="fr-CA"/>
        </w:rPr>
        <w:t xml:space="preserve">, Alliance for </w:t>
      </w:r>
      <w:proofErr w:type="spellStart"/>
      <w:r w:rsidRPr="00AF253F">
        <w:rPr>
          <w:lang w:val="fr-CA"/>
        </w:rPr>
        <w:t>Equality</w:t>
      </w:r>
      <w:proofErr w:type="spellEnd"/>
      <w:r w:rsidRPr="00AF253F">
        <w:rPr>
          <w:lang w:val="fr-CA"/>
        </w:rPr>
        <w:t xml:space="preserve"> of Blind </w:t>
      </w:r>
      <w:proofErr w:type="spellStart"/>
      <w:r w:rsidRPr="00AF253F">
        <w:rPr>
          <w:lang w:val="fr-CA"/>
        </w:rPr>
        <w:t>Canadians</w:t>
      </w:r>
      <w:proofErr w:type="spellEnd"/>
      <w:r w:rsidRPr="00AF253F">
        <w:rPr>
          <w:lang w:val="fr-CA"/>
        </w:rPr>
        <w:t xml:space="preserve">, National Coalition </w:t>
      </w:r>
      <w:r>
        <w:rPr>
          <w:lang w:val="fr-CA"/>
        </w:rPr>
        <w:t>of</w:t>
      </w:r>
      <w:r w:rsidRPr="00AF253F">
        <w:rPr>
          <w:lang w:val="fr-CA"/>
        </w:rPr>
        <w:t xml:space="preserve"> People </w:t>
      </w:r>
      <w:proofErr w:type="spellStart"/>
      <w:r w:rsidRPr="00AF253F">
        <w:rPr>
          <w:lang w:val="fr-CA"/>
        </w:rPr>
        <w:t>who</w:t>
      </w:r>
      <w:proofErr w:type="spellEnd"/>
      <w:r w:rsidRPr="00AF253F">
        <w:rPr>
          <w:lang w:val="fr-CA"/>
        </w:rPr>
        <w:t xml:space="preserve"> use Guide and Service </w:t>
      </w:r>
      <w:proofErr w:type="spellStart"/>
      <w:r w:rsidRPr="00AF253F">
        <w:rPr>
          <w:lang w:val="fr-CA"/>
        </w:rPr>
        <w:t>Dogs</w:t>
      </w:r>
      <w:proofErr w:type="spellEnd"/>
      <w:r w:rsidRPr="00AF253F">
        <w:rPr>
          <w:lang w:val="fr-CA"/>
        </w:rPr>
        <w:t xml:space="preserve"> in Canada (Coalition), </w:t>
      </w:r>
      <w:r w:rsidRPr="007A01DB">
        <w:rPr>
          <w:lang w:val="fr-CA"/>
        </w:rPr>
        <w:t>Utilisateurs de chiens-guides du Canada</w:t>
      </w:r>
      <w:r w:rsidRPr="00AF253F">
        <w:rPr>
          <w:lang w:val="fr-CA"/>
        </w:rPr>
        <w:t xml:space="preserve">, </w:t>
      </w:r>
      <w:r w:rsidRPr="007A01DB">
        <w:rPr>
          <w:lang w:val="fr-CA"/>
        </w:rPr>
        <w:t>Canada sans barrières</w:t>
      </w:r>
      <w:r w:rsidRPr="00AF253F">
        <w:rPr>
          <w:lang w:val="fr-CA"/>
        </w:rPr>
        <w:t xml:space="preserve">, </w:t>
      </w:r>
      <w:r>
        <w:rPr>
          <w:lang w:val="fr-CA"/>
        </w:rPr>
        <w:t xml:space="preserve">et </w:t>
      </w:r>
      <w:r w:rsidRPr="00AF253F">
        <w:rPr>
          <w:lang w:val="fr-CA"/>
        </w:rPr>
        <w:t xml:space="preserve">Canadian National Society for the </w:t>
      </w:r>
      <w:proofErr w:type="spellStart"/>
      <w:r w:rsidRPr="00AF253F">
        <w:rPr>
          <w:lang w:val="fr-CA"/>
        </w:rPr>
        <w:t>Deaf</w:t>
      </w:r>
      <w:proofErr w:type="spellEnd"/>
      <w:r w:rsidRPr="00AF253F">
        <w:rPr>
          <w:lang w:val="fr-CA"/>
        </w:rPr>
        <w:t xml:space="preserve">-Blind. </w:t>
      </w:r>
      <w:r>
        <w:rPr>
          <w:lang w:val="fr-CA"/>
        </w:rPr>
        <w:t xml:space="preserve">Le </w:t>
      </w:r>
      <w:r w:rsidRPr="00AF253F">
        <w:rPr>
          <w:lang w:val="fr-CA"/>
        </w:rPr>
        <w:t>CCD,</w:t>
      </w:r>
      <w:r>
        <w:rPr>
          <w:lang w:val="fr-CA"/>
        </w:rPr>
        <w:t xml:space="preserve"> la</w:t>
      </w:r>
      <w:r w:rsidRPr="00AF253F">
        <w:rPr>
          <w:lang w:val="fr-CA"/>
        </w:rPr>
        <w:t xml:space="preserve"> COPHAN,</w:t>
      </w:r>
      <w:r>
        <w:rPr>
          <w:lang w:val="fr-CA"/>
        </w:rPr>
        <w:t xml:space="preserve"> l’INCA et la</w:t>
      </w:r>
      <w:r w:rsidRPr="00AF253F">
        <w:rPr>
          <w:lang w:val="fr-CA"/>
        </w:rPr>
        <w:t xml:space="preserve"> Coalition </w:t>
      </w:r>
      <w:r>
        <w:rPr>
          <w:lang w:val="fr-CA"/>
        </w:rPr>
        <w:t>ont assisté à la réunion</w:t>
      </w:r>
      <w:r w:rsidR="004C3A69" w:rsidRPr="004C3A69">
        <w:rPr>
          <w:lang w:val="fr-CA"/>
        </w:rPr>
        <w:t>.</w:t>
      </w:r>
      <w:r w:rsidR="000975DD" w:rsidRPr="0029375F">
        <w:rPr>
          <w:lang w:val="fr-CA"/>
        </w:rPr>
        <w:t xml:space="preserve"> </w:t>
      </w:r>
    </w:p>
    <w:p w:rsidR="001E20A7" w:rsidRPr="00AF253F" w:rsidRDefault="001E20A7" w:rsidP="001E20A7">
      <w:pPr>
        <w:pStyle w:val="Heading2"/>
        <w:rPr>
          <w:lang w:val="fr-CA"/>
        </w:rPr>
      </w:pPr>
      <w:bookmarkStart w:id="2" w:name="_Toc171694979"/>
      <w:r>
        <w:rPr>
          <w:lang w:val="fr-CA"/>
        </w:rPr>
        <w:t xml:space="preserve">Réunion du 20 juin </w:t>
      </w:r>
      <w:r w:rsidRPr="00AF253F">
        <w:rPr>
          <w:lang w:val="fr-CA"/>
        </w:rPr>
        <w:t>2024</w:t>
      </w:r>
      <w:bookmarkEnd w:id="2"/>
    </w:p>
    <w:p w:rsidR="001E20A7" w:rsidRPr="00AF253F" w:rsidRDefault="001E20A7" w:rsidP="001E20A7">
      <w:pPr>
        <w:rPr>
          <w:lang w:val="fr-CA"/>
        </w:rPr>
      </w:pPr>
      <w:r>
        <w:rPr>
          <w:lang w:val="fr-CA"/>
        </w:rPr>
        <w:t>Le personnel de l’Office a présenté le</w:t>
      </w:r>
      <w:r w:rsidRPr="00AF253F">
        <w:rPr>
          <w:lang w:val="fr-CA"/>
        </w:rPr>
        <w:t xml:space="preserve"> context</w:t>
      </w:r>
      <w:r>
        <w:rPr>
          <w:lang w:val="fr-CA"/>
        </w:rPr>
        <w:t>e en vue des</w:t>
      </w:r>
      <w:r w:rsidRPr="00AF253F">
        <w:rPr>
          <w:lang w:val="fr-CA"/>
        </w:rPr>
        <w:t xml:space="preserve"> discussion</w:t>
      </w:r>
      <w:r>
        <w:rPr>
          <w:lang w:val="fr-CA"/>
        </w:rPr>
        <w:t>s</w:t>
      </w:r>
      <w:r w:rsidRPr="00AF253F">
        <w:rPr>
          <w:lang w:val="fr-CA"/>
        </w:rPr>
        <w:t xml:space="preserve">, </w:t>
      </w:r>
      <w:r>
        <w:rPr>
          <w:lang w:val="fr-CA"/>
        </w:rPr>
        <w:t xml:space="preserve">et il a fait remarquer que le Règlement renferme un ensemble de règles très normatives et qu’avec ce genre de règles, les exigences peuvent parfois être inappropriées dans certaines </w:t>
      </w:r>
      <w:r w:rsidRPr="00AF253F">
        <w:rPr>
          <w:lang w:val="fr-CA"/>
        </w:rPr>
        <w:t>situations</w:t>
      </w:r>
      <w:r>
        <w:rPr>
          <w:lang w:val="fr-CA"/>
        </w:rPr>
        <w:t xml:space="preserve"> où une solution de rechange offrira un niveau d’accessibilité semblable ou supérieur. Dans certains cas, certaines exigences peuvent devenir désuètes lorsque, par exemple, une nouvelle technologie est développée. C’est pourquoi aux termes du paragraphe 170</w:t>
      </w:r>
      <w:r w:rsidRPr="00AF253F">
        <w:rPr>
          <w:lang w:val="fr-CA"/>
        </w:rPr>
        <w:t xml:space="preserve">(4) </w:t>
      </w:r>
      <w:r>
        <w:rPr>
          <w:lang w:val="fr-CA"/>
        </w:rPr>
        <w:t xml:space="preserve">de la </w:t>
      </w:r>
      <w:r>
        <w:rPr>
          <w:i/>
          <w:lang w:val="fr-CA"/>
        </w:rPr>
        <w:t xml:space="preserve">Loi sur les transports au </w:t>
      </w:r>
      <w:r w:rsidRPr="00AF253F">
        <w:rPr>
          <w:i/>
          <w:lang w:val="fr-CA"/>
        </w:rPr>
        <w:t>Canada</w:t>
      </w:r>
      <w:r>
        <w:rPr>
          <w:lang w:val="fr-CA"/>
        </w:rPr>
        <w:t>, il est permis de présenter une demande pour utiliser une mesure de rechange offrant un niveau d’accessibilité équivalent ou supérieur</w:t>
      </w:r>
      <w:r w:rsidRPr="00AF253F">
        <w:rPr>
          <w:lang w:val="fr-CA"/>
        </w:rPr>
        <w:t>.</w:t>
      </w:r>
    </w:p>
    <w:p w:rsidR="001E20A7" w:rsidRPr="00650146" w:rsidRDefault="001E20A7" w:rsidP="001E20A7">
      <w:pPr>
        <w:pStyle w:val="Heading3"/>
        <w:rPr>
          <w:lang w:val="fr-CA"/>
        </w:rPr>
      </w:pPr>
      <w:bookmarkStart w:id="3" w:name="_Toc171694980"/>
      <w:r w:rsidRPr="00650146">
        <w:rPr>
          <w:lang w:val="fr-CA"/>
        </w:rPr>
        <w:t>Présentation par l’ACSTA</w:t>
      </w:r>
      <w:bookmarkEnd w:id="3"/>
    </w:p>
    <w:p w:rsidR="001E20A7" w:rsidRPr="00712A40" w:rsidRDefault="001E20A7" w:rsidP="001E20A7">
      <w:pPr>
        <w:rPr>
          <w:lang w:val="fr-CA"/>
        </w:rPr>
      </w:pPr>
      <w:r>
        <w:rPr>
          <w:lang w:val="fr-CA"/>
        </w:rPr>
        <w:t>L’ACSTA expliquait que, lors de son analyse des exigences en matière d’accessibilité visant la signalisation, elle a tenu compte de la façon dont les passagers circulent aux points de contrôle et elle s’est demandé comment elle pourrait mieux leur communiquer l’information dont ils ont besoin</w:t>
      </w:r>
      <w:r w:rsidRPr="00AF253F">
        <w:rPr>
          <w:lang w:val="fr-CA"/>
        </w:rPr>
        <w:t xml:space="preserve">. </w:t>
      </w:r>
      <w:r>
        <w:rPr>
          <w:lang w:val="fr-CA"/>
        </w:rPr>
        <w:t xml:space="preserve">À l’heure actuelle, soit leurs enseignes actuelles font </w:t>
      </w:r>
      <w:r w:rsidRPr="00AF253F">
        <w:rPr>
          <w:lang w:val="fr-CA"/>
        </w:rPr>
        <w:t>11</w:t>
      </w:r>
      <w:r>
        <w:rPr>
          <w:lang w:val="fr-CA"/>
        </w:rPr>
        <w:t> pouces sur</w:t>
      </w:r>
      <w:r w:rsidRPr="00AF253F">
        <w:rPr>
          <w:lang w:val="fr-CA"/>
        </w:rPr>
        <w:t xml:space="preserve"> 14</w:t>
      </w:r>
      <w:r>
        <w:rPr>
          <w:lang w:val="fr-CA"/>
        </w:rPr>
        <w:t xml:space="preserve"> et sont montées sur des panneaux mobiles en métal, soit elles font </w:t>
      </w:r>
      <w:r w:rsidRPr="00AF253F">
        <w:rPr>
          <w:iCs/>
          <w:lang w:val="fr-CA"/>
        </w:rPr>
        <w:t>22</w:t>
      </w:r>
      <w:r>
        <w:rPr>
          <w:iCs/>
          <w:lang w:val="fr-CA"/>
        </w:rPr>
        <w:t> pouces sur</w:t>
      </w:r>
      <w:r w:rsidRPr="00AF253F">
        <w:rPr>
          <w:iCs/>
          <w:lang w:val="fr-CA"/>
        </w:rPr>
        <w:t xml:space="preserve"> 28</w:t>
      </w:r>
      <w:r>
        <w:rPr>
          <w:iCs/>
          <w:lang w:val="fr-CA"/>
        </w:rPr>
        <w:t xml:space="preserve"> et sont installées sur de grands supports fixés au plancher. Avec l’ajout d’un texte en gros caractères et en braille, il faudrait que les enseignes soient plus grandes ou divisées en plusieurs petites enseignes pour que toute l’information requise y entre, ce qui causerait, à terme, des obstacles encore pires dans le petit espace des files d’attente</w:t>
      </w:r>
      <w:r w:rsidRPr="00AF253F">
        <w:rPr>
          <w:iCs/>
          <w:lang w:val="fr-CA"/>
        </w:rPr>
        <w:t>.</w:t>
      </w:r>
    </w:p>
    <w:p w:rsidR="001E20A7" w:rsidRPr="00AF253F" w:rsidRDefault="001E20A7" w:rsidP="001E20A7">
      <w:pPr>
        <w:rPr>
          <w:iCs/>
          <w:lang w:val="fr-CA"/>
        </w:rPr>
      </w:pPr>
      <w:r>
        <w:rPr>
          <w:iCs/>
          <w:lang w:val="fr-CA"/>
        </w:rPr>
        <w:t>D’autres options ont été envisagées, comme des outils numériques</w:t>
      </w:r>
      <w:r w:rsidRPr="00AF253F">
        <w:rPr>
          <w:iCs/>
          <w:lang w:val="fr-CA"/>
        </w:rPr>
        <w:t xml:space="preserve"> accessible</w:t>
      </w:r>
      <w:r>
        <w:rPr>
          <w:iCs/>
          <w:lang w:val="fr-CA"/>
        </w:rPr>
        <w:t>s, mais comme elles exigent beaucoup de planification et d’investissement,</w:t>
      </w:r>
      <w:r w:rsidRPr="00AF253F">
        <w:rPr>
          <w:iCs/>
          <w:lang w:val="fr-CA"/>
        </w:rPr>
        <w:t xml:space="preserve"> </w:t>
      </w:r>
      <w:r>
        <w:rPr>
          <w:iCs/>
          <w:lang w:val="fr-CA"/>
        </w:rPr>
        <w:t>l’ACSTA</w:t>
      </w:r>
      <w:r w:rsidRPr="00AF253F">
        <w:rPr>
          <w:iCs/>
          <w:lang w:val="fr-CA"/>
        </w:rPr>
        <w:t xml:space="preserve"> </w:t>
      </w:r>
      <w:r>
        <w:rPr>
          <w:iCs/>
          <w:lang w:val="fr-CA"/>
        </w:rPr>
        <w:t>les</w:t>
      </w:r>
      <w:r w:rsidRPr="00AF253F">
        <w:rPr>
          <w:iCs/>
          <w:lang w:val="fr-CA"/>
        </w:rPr>
        <w:t xml:space="preserve"> </w:t>
      </w:r>
      <w:r>
        <w:rPr>
          <w:iCs/>
          <w:lang w:val="fr-CA"/>
        </w:rPr>
        <w:t>étudiera davantage à titre d’amélioration à long terme</w:t>
      </w:r>
      <w:r w:rsidRPr="00AF253F">
        <w:rPr>
          <w:iCs/>
          <w:lang w:val="fr-CA"/>
        </w:rPr>
        <w:t>.</w:t>
      </w:r>
    </w:p>
    <w:p w:rsidR="001E20A7" w:rsidRPr="00AF253F" w:rsidRDefault="001E20A7" w:rsidP="001E20A7">
      <w:pPr>
        <w:rPr>
          <w:iCs/>
          <w:lang w:val="fr-CA"/>
        </w:rPr>
      </w:pPr>
      <w:r>
        <w:rPr>
          <w:iCs/>
          <w:lang w:val="fr-CA"/>
        </w:rPr>
        <w:lastRenderedPageBreak/>
        <w:t>Avant de présenter sa demande à l’Office, l’ACSTA</w:t>
      </w:r>
      <w:r w:rsidRPr="00AF253F">
        <w:rPr>
          <w:iCs/>
          <w:lang w:val="fr-CA"/>
        </w:rPr>
        <w:t xml:space="preserve"> </w:t>
      </w:r>
      <w:r>
        <w:rPr>
          <w:iCs/>
          <w:lang w:val="fr-CA"/>
        </w:rPr>
        <w:t>a consulté des représentants de l’INCA, de Normes d’accessibilité Canada</w:t>
      </w:r>
      <w:r w:rsidRPr="00AF253F">
        <w:rPr>
          <w:iCs/>
          <w:lang w:val="fr-CA"/>
        </w:rPr>
        <w:t xml:space="preserve">, </w:t>
      </w:r>
      <w:r>
        <w:rPr>
          <w:iCs/>
          <w:lang w:val="fr-CA"/>
        </w:rPr>
        <w:t>de l’ASFC</w:t>
      </w:r>
      <w:r w:rsidRPr="00AF253F">
        <w:rPr>
          <w:iCs/>
          <w:lang w:val="fr-CA"/>
        </w:rPr>
        <w:t>,</w:t>
      </w:r>
      <w:r>
        <w:rPr>
          <w:iCs/>
          <w:lang w:val="fr-CA"/>
        </w:rPr>
        <w:t xml:space="preserve"> et du Secrétariat du Conseil du Trésor du </w:t>
      </w:r>
      <w:r w:rsidRPr="00AF253F">
        <w:rPr>
          <w:iCs/>
          <w:lang w:val="fr-CA"/>
        </w:rPr>
        <w:t xml:space="preserve">Canada. </w:t>
      </w:r>
      <w:r>
        <w:rPr>
          <w:iCs/>
          <w:lang w:val="fr-CA"/>
        </w:rPr>
        <w:t xml:space="preserve">Selon l’ACSTA, toutes ces organisations ont trouvé que la solution du livret était un pas dans la bonne direction pour s’acquitter de leur obligation. </w:t>
      </w:r>
    </w:p>
    <w:p w:rsidR="001E20A7" w:rsidRPr="00AF253F" w:rsidRDefault="001E20A7" w:rsidP="001E20A7">
      <w:pPr>
        <w:rPr>
          <w:iCs/>
          <w:lang w:val="fr-CA"/>
        </w:rPr>
      </w:pPr>
      <w:r>
        <w:rPr>
          <w:iCs/>
          <w:lang w:val="fr-CA"/>
        </w:rPr>
        <w:t>Si la mesure proposée est acceptée</w:t>
      </w:r>
      <w:r w:rsidRPr="00AF253F">
        <w:rPr>
          <w:iCs/>
          <w:lang w:val="fr-CA"/>
        </w:rPr>
        <w:t xml:space="preserve">, </w:t>
      </w:r>
      <w:r>
        <w:rPr>
          <w:iCs/>
          <w:lang w:val="fr-CA"/>
        </w:rPr>
        <w:t>l’ACSTA</w:t>
      </w:r>
      <w:r w:rsidRPr="00AF253F">
        <w:rPr>
          <w:iCs/>
          <w:lang w:val="fr-CA"/>
        </w:rPr>
        <w:t xml:space="preserve"> </w:t>
      </w:r>
      <w:r>
        <w:rPr>
          <w:iCs/>
          <w:lang w:val="fr-CA"/>
        </w:rPr>
        <w:t>distribuerait simultanément le livret aux 89 aéroports, avec une formation donnée à tous les agents de contrôle de sûreté, et elle intégrerait un processus détaillé aux procédures normalisées d’exploitation afin que l’expérience passager soit uniforme, peu importe l’aéroport</w:t>
      </w:r>
      <w:r w:rsidRPr="00AF253F">
        <w:rPr>
          <w:iCs/>
          <w:lang w:val="fr-CA"/>
        </w:rPr>
        <w:t xml:space="preserve">. </w:t>
      </w:r>
      <w:r>
        <w:rPr>
          <w:iCs/>
          <w:lang w:val="fr-CA"/>
        </w:rPr>
        <w:t>Pour les personnes ayant une déficience visuelle, l’ACSTA</w:t>
      </w:r>
      <w:r w:rsidRPr="00AF253F">
        <w:rPr>
          <w:iCs/>
          <w:lang w:val="fr-CA"/>
        </w:rPr>
        <w:t xml:space="preserve"> </w:t>
      </w:r>
      <w:r>
        <w:rPr>
          <w:iCs/>
          <w:lang w:val="fr-CA"/>
        </w:rPr>
        <w:t>a déjà instauré un processus visant à leur offrir l’</w:t>
      </w:r>
      <w:r w:rsidRPr="00AF253F">
        <w:rPr>
          <w:iCs/>
          <w:lang w:val="fr-CA"/>
        </w:rPr>
        <w:t xml:space="preserve">assistance </w:t>
      </w:r>
      <w:r>
        <w:rPr>
          <w:iCs/>
          <w:lang w:val="fr-CA"/>
        </w:rPr>
        <w:t>pour passer aux contrôles de sûreté</w:t>
      </w:r>
      <w:r w:rsidRPr="00AF253F">
        <w:rPr>
          <w:iCs/>
          <w:lang w:val="fr-CA"/>
        </w:rPr>
        <w:t xml:space="preserve">. </w:t>
      </w:r>
      <w:r w:rsidRPr="00533B32">
        <w:rPr>
          <w:iCs/>
          <w:lang w:val="fr-CA"/>
        </w:rPr>
        <w:t>L’ACSTA mentionnait que de nouveaux emplois de facilitateur ser</w:t>
      </w:r>
      <w:r>
        <w:rPr>
          <w:iCs/>
          <w:lang w:val="fr-CA"/>
        </w:rPr>
        <w:t>aie</w:t>
      </w:r>
      <w:r w:rsidRPr="00533B32">
        <w:rPr>
          <w:iCs/>
          <w:lang w:val="fr-CA"/>
        </w:rPr>
        <w:t xml:space="preserve">nt créés dans plusieurs aéroports cette année et que </w:t>
      </w:r>
      <w:r>
        <w:rPr>
          <w:iCs/>
          <w:lang w:val="fr-CA"/>
        </w:rPr>
        <w:t>ces employés recevraient de la formation pour offrir du soutien.</w:t>
      </w:r>
    </w:p>
    <w:p w:rsidR="001E20A7" w:rsidRPr="00AF253F" w:rsidRDefault="001E20A7" w:rsidP="001E20A7">
      <w:pPr>
        <w:rPr>
          <w:iCs/>
          <w:lang w:val="fr-CA"/>
        </w:rPr>
      </w:pPr>
      <w:r>
        <w:rPr>
          <w:iCs/>
          <w:lang w:val="fr-CA"/>
        </w:rPr>
        <w:t>L’ACSTA</w:t>
      </w:r>
      <w:r w:rsidRPr="00AF253F">
        <w:rPr>
          <w:iCs/>
          <w:lang w:val="fr-CA"/>
        </w:rPr>
        <w:t xml:space="preserve"> </w:t>
      </w:r>
      <w:r>
        <w:rPr>
          <w:iCs/>
          <w:lang w:val="fr-CA"/>
        </w:rPr>
        <w:t>est d’avis que grâce au livret, le passager n’aura pas à chercher les diverses enseignes réglementaires et il disposera d’un moyen pratique pour obtenir toute l’information dont il a besoin avant de rejoindre la file vers un point de contrôle. Le passager pourra lire le livret à son rythme, l’apporter pendant qu’il passe le point de contrôle</w:t>
      </w:r>
      <w:r w:rsidRPr="00AF253F">
        <w:rPr>
          <w:iCs/>
          <w:lang w:val="fr-CA"/>
        </w:rPr>
        <w:t xml:space="preserve">, </w:t>
      </w:r>
      <w:r>
        <w:rPr>
          <w:iCs/>
          <w:lang w:val="fr-CA"/>
        </w:rPr>
        <w:t>ou demander à ce qu’on lui lise le livret</w:t>
      </w:r>
      <w:r w:rsidRPr="00AF253F">
        <w:rPr>
          <w:iCs/>
          <w:lang w:val="fr-CA"/>
        </w:rPr>
        <w:t>.</w:t>
      </w:r>
    </w:p>
    <w:p w:rsidR="001E20A7" w:rsidRPr="00AF253F" w:rsidRDefault="001E20A7" w:rsidP="001E20A7">
      <w:pPr>
        <w:rPr>
          <w:iCs/>
          <w:lang w:val="fr-CA"/>
        </w:rPr>
      </w:pPr>
      <w:r>
        <w:rPr>
          <w:iCs/>
          <w:lang w:val="fr-CA"/>
        </w:rPr>
        <w:t>L’ACSTA</w:t>
      </w:r>
      <w:r w:rsidRPr="00AF253F">
        <w:rPr>
          <w:iCs/>
          <w:lang w:val="fr-CA"/>
        </w:rPr>
        <w:t xml:space="preserve"> </w:t>
      </w:r>
      <w:r>
        <w:rPr>
          <w:iCs/>
          <w:lang w:val="fr-CA"/>
        </w:rPr>
        <w:t>entend informer les passagers de l’existence du livret par des publications sur son site Web et dans les médias sociaux, et elle compte le communiquer aux organisations qui desservent la communauté des personnes ayant une déficience visuelle, laquelle pourrait aider à le faire connaître. De plus, l’ACSTA</w:t>
      </w:r>
      <w:r w:rsidRPr="00AF253F">
        <w:rPr>
          <w:iCs/>
          <w:lang w:val="fr-CA"/>
        </w:rPr>
        <w:t xml:space="preserve"> </w:t>
      </w:r>
      <w:r>
        <w:rPr>
          <w:iCs/>
          <w:lang w:val="fr-CA"/>
        </w:rPr>
        <w:t>collaborera avec des administrations aéroportuaires et des compagnies aériennes, puisqu’elles sont les premiers points de contact du public.</w:t>
      </w:r>
    </w:p>
    <w:p w:rsidR="001E20A7" w:rsidRPr="00AF253F" w:rsidRDefault="001E20A7" w:rsidP="001E20A7">
      <w:pPr>
        <w:pStyle w:val="Heading3"/>
        <w:rPr>
          <w:lang w:val="fr-CA"/>
        </w:rPr>
      </w:pPr>
      <w:bookmarkStart w:id="4" w:name="_Toc171694981"/>
      <w:r>
        <w:rPr>
          <w:lang w:val="fr-CA"/>
        </w:rPr>
        <w:t>Présentation par l’ASFC</w:t>
      </w:r>
      <w:bookmarkEnd w:id="4"/>
    </w:p>
    <w:p w:rsidR="001E20A7" w:rsidRPr="00AF253F" w:rsidRDefault="001E20A7" w:rsidP="001E20A7">
      <w:pPr>
        <w:rPr>
          <w:lang w:val="fr-CA"/>
        </w:rPr>
      </w:pPr>
      <w:r>
        <w:rPr>
          <w:lang w:val="fr-CA"/>
        </w:rPr>
        <w:t>L’ASFC</w:t>
      </w:r>
      <w:r w:rsidRPr="00AF253F">
        <w:rPr>
          <w:lang w:val="fr-CA"/>
        </w:rPr>
        <w:t xml:space="preserve"> expl</w:t>
      </w:r>
      <w:r>
        <w:rPr>
          <w:lang w:val="fr-CA"/>
        </w:rPr>
        <w:t>iquait qu’à une frontière, de nombreuses lois et règles différentes convergent et que dans notre système, l’on se fie sur les gens pour qu’ils déclarent leurs biens et se soumettent à un examen. Le voyageur a donc la responsabilité de s’informer des règles qui lui sont communiquées au moyen de nombreux enseignes</w:t>
      </w:r>
      <w:r w:rsidRPr="00AF253F">
        <w:rPr>
          <w:lang w:val="fr-CA"/>
        </w:rPr>
        <w:t xml:space="preserve">. </w:t>
      </w:r>
    </w:p>
    <w:p w:rsidR="001E20A7" w:rsidRPr="00AF253F" w:rsidRDefault="001E20A7" w:rsidP="001E20A7">
      <w:pPr>
        <w:rPr>
          <w:lang w:val="fr-CA"/>
        </w:rPr>
      </w:pPr>
      <w:r>
        <w:rPr>
          <w:lang w:val="fr-CA"/>
        </w:rPr>
        <w:t>L’ASFC</w:t>
      </w:r>
      <w:r w:rsidRPr="00AF253F">
        <w:rPr>
          <w:lang w:val="fr-CA"/>
        </w:rPr>
        <w:t xml:space="preserve"> </w:t>
      </w:r>
      <w:r>
        <w:rPr>
          <w:lang w:val="fr-CA"/>
        </w:rPr>
        <w:t xml:space="preserve">estimait que, pour répondre à toutes les obligations concernant les enseignes, elle se retrouve avec des problèmes pratiques qui risquent de nuire aux démarches </w:t>
      </w:r>
      <w:r>
        <w:rPr>
          <w:lang w:val="fr-CA"/>
        </w:rPr>
        <w:lastRenderedPageBreak/>
        <w:t>visant à améliorer l’accessibilité</w:t>
      </w:r>
      <w:r w:rsidRPr="00AF253F">
        <w:rPr>
          <w:lang w:val="fr-CA"/>
        </w:rPr>
        <w:t xml:space="preserve">. </w:t>
      </w:r>
      <w:r>
        <w:rPr>
          <w:lang w:val="fr-CA"/>
        </w:rPr>
        <w:t xml:space="preserve">Elle affirme que, dans la plupart des cas, la signalisation devrait être si grande qu’il faudrait l’installer sur les murs du périmètre, là où les gens ne vont pas. Les gens sont dans des fils dynamiques au centre de la pièce et n’ont pas accès aux murs extérieurs. Dans certains cas, la signalisation serait si grande qu’il serait impossible de l’installer à une hauteur facile à atteindre. </w:t>
      </w:r>
    </w:p>
    <w:p w:rsidR="001E20A7" w:rsidRPr="00AF253F" w:rsidRDefault="001E20A7" w:rsidP="001E20A7">
      <w:pPr>
        <w:rPr>
          <w:lang w:val="fr-CA"/>
        </w:rPr>
      </w:pPr>
      <w:r>
        <w:rPr>
          <w:lang w:val="fr-CA"/>
        </w:rPr>
        <w:t>L’ASFC</w:t>
      </w:r>
      <w:r w:rsidRPr="00AF253F">
        <w:rPr>
          <w:lang w:val="fr-CA"/>
        </w:rPr>
        <w:t xml:space="preserve"> </w:t>
      </w:r>
      <w:r>
        <w:rPr>
          <w:lang w:val="fr-CA"/>
        </w:rPr>
        <w:t>a déjà intégré une signalisation tactile sur de petites enseignes</w:t>
      </w:r>
      <w:r w:rsidRPr="00AF253F">
        <w:rPr>
          <w:lang w:val="fr-CA"/>
        </w:rPr>
        <w:t xml:space="preserve">, </w:t>
      </w:r>
      <w:r>
        <w:rPr>
          <w:lang w:val="fr-CA"/>
        </w:rPr>
        <w:t>mais elle propose d’inclure huit enseignes plus grandes dans son livret tactile</w:t>
      </w:r>
      <w:r w:rsidRPr="00AF253F">
        <w:rPr>
          <w:lang w:val="fr-CA"/>
        </w:rPr>
        <w:t>.</w:t>
      </w:r>
    </w:p>
    <w:p w:rsidR="001E20A7" w:rsidRPr="00AF253F" w:rsidRDefault="001E20A7" w:rsidP="001E20A7">
      <w:pPr>
        <w:rPr>
          <w:lang w:val="fr-CA"/>
        </w:rPr>
      </w:pPr>
      <w:r>
        <w:rPr>
          <w:lang w:val="fr-CA"/>
        </w:rPr>
        <w:t>De concert avec l’ACSTA</w:t>
      </w:r>
      <w:r w:rsidRPr="00AF253F">
        <w:rPr>
          <w:lang w:val="fr-CA"/>
        </w:rPr>
        <w:t xml:space="preserve">, </w:t>
      </w:r>
      <w:r>
        <w:rPr>
          <w:lang w:val="fr-CA"/>
        </w:rPr>
        <w:t>l’ASFC</w:t>
      </w:r>
      <w:r w:rsidRPr="00AF253F">
        <w:rPr>
          <w:lang w:val="fr-CA"/>
        </w:rPr>
        <w:t xml:space="preserve"> </w:t>
      </w:r>
      <w:r>
        <w:rPr>
          <w:lang w:val="fr-CA"/>
        </w:rPr>
        <w:t>a étudié des solutions de rechange, par exemple des cônes « parlants » pour transmettre les messages, pour finalement conclure qu’ils ne conviennent pas dans un contexte où les gens sont en mouvement</w:t>
      </w:r>
      <w:r w:rsidRPr="00AF253F">
        <w:rPr>
          <w:lang w:val="fr-CA"/>
        </w:rPr>
        <w:t xml:space="preserve">. </w:t>
      </w:r>
      <w:r>
        <w:rPr>
          <w:lang w:val="fr-CA"/>
        </w:rPr>
        <w:t>L’ASFC</w:t>
      </w:r>
      <w:r w:rsidRPr="00AF253F">
        <w:rPr>
          <w:lang w:val="fr-CA"/>
        </w:rPr>
        <w:t xml:space="preserve"> </w:t>
      </w:r>
      <w:r>
        <w:rPr>
          <w:lang w:val="fr-CA"/>
        </w:rPr>
        <w:t>a envisagé des codes QR qu’elle accepterait en complément d’un autre produit, mais elle fait remarquer que cette solution ne pourra pas à elle seule répondre complètement à l’exigence, et que les personnes qui auraient besoin de les utiliser pourraient ne pas être à l’aise avec la technologie. L’ASFC</w:t>
      </w:r>
      <w:r w:rsidRPr="00AF253F">
        <w:rPr>
          <w:lang w:val="fr-CA"/>
        </w:rPr>
        <w:t xml:space="preserve"> </w:t>
      </w:r>
      <w:r>
        <w:rPr>
          <w:lang w:val="fr-CA"/>
        </w:rPr>
        <w:t>a reconnu qu’une combinaison de mesures pourrait être nécessaire pour arriver à la plus grande accessibilité possible, mais elle estime que le livret est une solution pratique pour rendre les longs messages accessibles</w:t>
      </w:r>
      <w:r w:rsidRPr="00AF253F">
        <w:rPr>
          <w:lang w:val="fr-CA"/>
        </w:rPr>
        <w:t>.</w:t>
      </w:r>
    </w:p>
    <w:p w:rsidR="001E20A7" w:rsidRPr="00AF253F" w:rsidRDefault="001E20A7" w:rsidP="001E20A7">
      <w:pPr>
        <w:rPr>
          <w:lang w:val="fr-CA"/>
        </w:rPr>
      </w:pPr>
      <w:r>
        <w:rPr>
          <w:lang w:val="fr-CA"/>
        </w:rPr>
        <w:t>L’ASFC</w:t>
      </w:r>
      <w:r w:rsidRPr="00AF253F">
        <w:rPr>
          <w:lang w:val="fr-CA"/>
        </w:rPr>
        <w:t xml:space="preserve"> </w:t>
      </w:r>
      <w:r>
        <w:rPr>
          <w:lang w:val="fr-CA"/>
        </w:rPr>
        <w:t>a admis que la consultation qu’elle a menée auprès de la communauté avant de déposer sa demande à l’Office aurait pu inclure davantage d’organisations faisant partie de la communauté. Elle a également fait remarquer que, dans le cadre du renouvellement de son plan sur l’accessibilité, elle participe, avec l’ACSTA</w:t>
      </w:r>
      <w:r w:rsidRPr="00AF253F">
        <w:rPr>
          <w:lang w:val="fr-CA"/>
        </w:rPr>
        <w:t xml:space="preserve">, </w:t>
      </w:r>
      <w:r>
        <w:rPr>
          <w:lang w:val="fr-CA"/>
        </w:rPr>
        <w:t xml:space="preserve">à une étude menée par l’Université Laval et parrainée par </w:t>
      </w:r>
      <w:r>
        <w:rPr>
          <w:iCs/>
          <w:lang w:val="fr-CA"/>
        </w:rPr>
        <w:t>Normes d’accessibilité Canada, afin de se pencher</w:t>
      </w:r>
      <w:r>
        <w:rPr>
          <w:lang w:val="fr-CA"/>
        </w:rPr>
        <w:t xml:space="preserve"> particulièrement sur la signalisation dans les aéroports, et pour que les constatations dégagées puissent être prises en compte</w:t>
      </w:r>
      <w:r w:rsidRPr="00AF253F">
        <w:rPr>
          <w:lang w:val="fr-CA"/>
        </w:rPr>
        <w:t>.</w:t>
      </w:r>
    </w:p>
    <w:p w:rsidR="001E20A7" w:rsidRPr="00AF253F" w:rsidRDefault="001E20A7" w:rsidP="001E20A7">
      <w:pPr>
        <w:rPr>
          <w:lang w:val="fr-CA"/>
        </w:rPr>
      </w:pPr>
      <w:r>
        <w:rPr>
          <w:lang w:val="fr-CA"/>
        </w:rPr>
        <w:t>L’ASFC</w:t>
      </w:r>
      <w:r w:rsidRPr="00AF253F">
        <w:rPr>
          <w:lang w:val="fr-CA"/>
        </w:rPr>
        <w:t xml:space="preserve"> </w:t>
      </w:r>
      <w:r>
        <w:rPr>
          <w:lang w:val="fr-CA"/>
        </w:rPr>
        <w:t>utiliserait une variété de techniques pour que son personnel et le public soient au courant de l’existence du livret, par exemple par l’entremise de son programme de formation et de son bulletin opérationnel, ou en passant par son site Web, les médias sociaux, et des activités de sensibilisation dans l’industrie du transport aérien</w:t>
      </w:r>
      <w:r w:rsidRPr="00AF253F">
        <w:rPr>
          <w:lang w:val="fr-CA"/>
        </w:rPr>
        <w:t>.</w:t>
      </w:r>
    </w:p>
    <w:p w:rsidR="001E20A7" w:rsidRPr="00AF253F" w:rsidRDefault="001E20A7" w:rsidP="001E20A7">
      <w:pPr>
        <w:rPr>
          <w:lang w:val="fr-CA"/>
        </w:rPr>
      </w:pPr>
      <w:r>
        <w:rPr>
          <w:lang w:val="fr-CA"/>
        </w:rPr>
        <w:t>L’ASFC</w:t>
      </w:r>
      <w:r w:rsidRPr="00AF253F">
        <w:rPr>
          <w:lang w:val="fr-CA"/>
        </w:rPr>
        <w:t xml:space="preserve"> </w:t>
      </w:r>
      <w:r>
        <w:rPr>
          <w:lang w:val="fr-CA"/>
        </w:rPr>
        <w:t>fait également remarquer qu’une personne aura toujours l’option de discuter en personne avec un agent</w:t>
      </w:r>
      <w:r w:rsidRPr="00AF253F">
        <w:rPr>
          <w:lang w:val="fr-CA"/>
        </w:rPr>
        <w:t xml:space="preserve">. </w:t>
      </w:r>
    </w:p>
    <w:p w:rsidR="001E20A7" w:rsidRPr="00650146" w:rsidRDefault="001E20A7">
      <w:pPr>
        <w:spacing w:after="200"/>
        <w:rPr>
          <w:rFonts w:ascii="Calibri" w:eastAsiaTheme="majorEastAsia" w:hAnsi="Calibri" w:cstheme="majorBidi"/>
          <w:b/>
          <w:noProof/>
          <w:sz w:val="46"/>
          <w:szCs w:val="26"/>
          <w:lang w:val="fr-CA" w:eastAsia="en-CA"/>
        </w:rPr>
      </w:pPr>
      <w:r w:rsidRPr="00650146">
        <w:rPr>
          <w:lang w:val="fr-CA"/>
        </w:rPr>
        <w:br w:type="page"/>
      </w:r>
    </w:p>
    <w:p w:rsidR="001E20A7" w:rsidRPr="00650146" w:rsidRDefault="001E20A7" w:rsidP="002B740E">
      <w:pPr>
        <w:pStyle w:val="Heading3"/>
        <w:rPr>
          <w:lang w:val="fr-CA"/>
        </w:rPr>
      </w:pPr>
      <w:bookmarkStart w:id="5" w:name="_Toc171694982"/>
      <w:r w:rsidRPr="00650146">
        <w:rPr>
          <w:lang w:val="fr-CA"/>
        </w:rPr>
        <w:lastRenderedPageBreak/>
        <w:t>Discussions</w:t>
      </w:r>
      <w:bookmarkEnd w:id="5"/>
    </w:p>
    <w:p w:rsidR="001E20A7" w:rsidRPr="00AF253F" w:rsidRDefault="001E20A7" w:rsidP="002B740E">
      <w:pPr>
        <w:widowControl w:val="0"/>
        <w:tabs>
          <w:tab w:val="left" w:pos="-720"/>
          <w:tab w:val="left" w:pos="2880"/>
          <w:tab w:val="left" w:pos="3600"/>
        </w:tabs>
        <w:autoSpaceDE w:val="0"/>
        <w:autoSpaceDN w:val="0"/>
        <w:adjustRightInd w:val="0"/>
        <w:spacing w:after="120" w:line="450" w:lineRule="exact"/>
        <w:rPr>
          <w:rFonts w:cstheme="minorHAnsi"/>
          <w:iCs/>
          <w:lang w:val="fr-CA"/>
        </w:rPr>
      </w:pPr>
      <w:r>
        <w:rPr>
          <w:rFonts w:cstheme="minorHAnsi"/>
          <w:iCs/>
          <w:lang w:val="fr-CA"/>
        </w:rPr>
        <w:t>Quatre grands thèmes ont été abordés lors des discussions</w:t>
      </w:r>
      <w:r w:rsidR="002B740E">
        <w:rPr>
          <w:rFonts w:cstheme="minorHAnsi"/>
          <w:iCs/>
          <w:lang w:val="fr-CA"/>
        </w:rPr>
        <w:t xml:space="preserve"> </w:t>
      </w:r>
      <w:r w:rsidRPr="00AF253F">
        <w:rPr>
          <w:rFonts w:cstheme="minorHAnsi"/>
          <w:iCs/>
          <w:lang w:val="fr-CA"/>
        </w:rPr>
        <w:t>:</w:t>
      </w:r>
    </w:p>
    <w:p w:rsidR="001E20A7" w:rsidRPr="001E20A7" w:rsidRDefault="001E20A7" w:rsidP="001E20A7">
      <w:pPr>
        <w:pStyle w:val="ListParagraph"/>
        <w:numPr>
          <w:ilvl w:val="0"/>
          <w:numId w:val="22"/>
        </w:numPr>
        <w:rPr>
          <w:lang w:val="fr-CA"/>
        </w:rPr>
      </w:pPr>
      <w:r w:rsidRPr="001E20A7">
        <w:rPr>
          <w:lang w:val="fr-CA"/>
        </w:rPr>
        <w:t xml:space="preserve">consultation auprès de l’INCA </w:t>
      </w:r>
    </w:p>
    <w:p w:rsidR="001E20A7" w:rsidRPr="001E20A7" w:rsidRDefault="001E20A7" w:rsidP="001E20A7">
      <w:pPr>
        <w:pStyle w:val="ListParagraph"/>
        <w:numPr>
          <w:ilvl w:val="0"/>
          <w:numId w:val="22"/>
        </w:numPr>
        <w:rPr>
          <w:lang w:val="fr-CA"/>
        </w:rPr>
      </w:pPr>
      <w:r w:rsidRPr="001E20A7">
        <w:rPr>
          <w:lang w:val="fr-CA"/>
        </w:rPr>
        <w:t xml:space="preserve">peu de consultation par l’ACSTA et l’ASFC auprès de la communauté </w:t>
      </w:r>
    </w:p>
    <w:p w:rsidR="001E20A7" w:rsidRPr="001E20A7" w:rsidRDefault="001E20A7" w:rsidP="001E20A7">
      <w:pPr>
        <w:pStyle w:val="ListParagraph"/>
        <w:numPr>
          <w:ilvl w:val="0"/>
          <w:numId w:val="22"/>
        </w:numPr>
        <w:rPr>
          <w:lang w:val="fr-CA"/>
        </w:rPr>
      </w:pPr>
      <w:r w:rsidRPr="001E20A7">
        <w:rPr>
          <w:lang w:val="fr-CA"/>
        </w:rPr>
        <w:t>choix</w:t>
      </w:r>
    </w:p>
    <w:p w:rsidR="001E20A7" w:rsidRPr="001E20A7" w:rsidRDefault="001E20A7" w:rsidP="001E20A7">
      <w:pPr>
        <w:pStyle w:val="ListParagraph"/>
        <w:numPr>
          <w:ilvl w:val="0"/>
          <w:numId w:val="22"/>
        </w:numPr>
        <w:rPr>
          <w:lang w:val="fr-CA"/>
        </w:rPr>
      </w:pPr>
      <w:r w:rsidRPr="001E20A7">
        <w:rPr>
          <w:lang w:val="fr-CA"/>
        </w:rPr>
        <w:t>opinions concernant le livret en tant que mesure de rechange</w:t>
      </w:r>
    </w:p>
    <w:p w:rsidR="001E20A7" w:rsidRPr="00AF253F" w:rsidRDefault="001E20A7" w:rsidP="001E20A7">
      <w:pPr>
        <w:pStyle w:val="Heading4"/>
        <w:rPr>
          <w:lang w:val="fr-CA"/>
        </w:rPr>
      </w:pPr>
      <w:r>
        <w:rPr>
          <w:lang w:val="fr-CA"/>
        </w:rPr>
        <w:t>C</w:t>
      </w:r>
      <w:r w:rsidRPr="009226AE">
        <w:rPr>
          <w:lang w:val="fr-CA"/>
        </w:rPr>
        <w:t>onsultation auprès de l’INCA</w:t>
      </w:r>
    </w:p>
    <w:p w:rsidR="001E20A7" w:rsidRPr="00AF253F" w:rsidRDefault="001E20A7" w:rsidP="002B740E">
      <w:pPr>
        <w:rPr>
          <w:lang w:val="fr-CA"/>
        </w:rPr>
      </w:pPr>
      <w:r>
        <w:rPr>
          <w:lang w:val="fr-CA"/>
        </w:rPr>
        <w:t>L’INCA expliquait comment il a pu présenter ses commentaires à l’ACSTA</w:t>
      </w:r>
      <w:r w:rsidRPr="00AF253F">
        <w:rPr>
          <w:lang w:val="fr-CA"/>
        </w:rPr>
        <w:t xml:space="preserve"> </w:t>
      </w:r>
      <w:r>
        <w:rPr>
          <w:lang w:val="fr-CA"/>
        </w:rPr>
        <w:t>et à l’ASFC</w:t>
      </w:r>
      <w:r w:rsidRPr="00AF253F">
        <w:rPr>
          <w:lang w:val="fr-CA"/>
        </w:rPr>
        <w:t xml:space="preserve"> </w:t>
      </w:r>
      <w:r>
        <w:rPr>
          <w:lang w:val="fr-CA"/>
        </w:rPr>
        <w:t>sur la conception du livret. Il a indiqué avoir examiné l’élément du livret en braille pour vérifier si le braille était « correct », et pour voir comment s’en tireraient les personnes ayant divers niveaux de compétence de la lecture en braille</w:t>
      </w:r>
      <w:r w:rsidRPr="00AF253F">
        <w:rPr>
          <w:lang w:val="fr-CA"/>
        </w:rPr>
        <w:t xml:space="preserve">. </w:t>
      </w:r>
      <w:r>
        <w:rPr>
          <w:lang w:val="fr-CA"/>
        </w:rPr>
        <w:t>L’INCA</w:t>
      </w:r>
      <w:r w:rsidRPr="00AF253F">
        <w:rPr>
          <w:lang w:val="fr-CA"/>
        </w:rPr>
        <w:t xml:space="preserve"> </w:t>
      </w:r>
      <w:r>
        <w:rPr>
          <w:lang w:val="fr-CA"/>
        </w:rPr>
        <w:t xml:space="preserve">estimait également que la solution serait adoptée par des personnes naviguant à travers le processus qui pourraient avoir également à s’occuper d’un chien-guide, avoir une canne et des bagages, </w:t>
      </w:r>
      <w:r w:rsidRPr="00AF253F">
        <w:rPr>
          <w:lang w:val="fr-CA"/>
        </w:rPr>
        <w:t>etc.</w:t>
      </w:r>
    </w:p>
    <w:p w:rsidR="001E20A7" w:rsidRPr="00AF253F" w:rsidRDefault="001E20A7" w:rsidP="002B740E">
      <w:pPr>
        <w:rPr>
          <w:lang w:val="fr-CA"/>
        </w:rPr>
      </w:pPr>
      <w:r>
        <w:rPr>
          <w:lang w:val="fr-CA"/>
        </w:rPr>
        <w:t>Des membres de la communauté ont fait remarquer que l’INCA</w:t>
      </w:r>
      <w:r w:rsidRPr="00AF253F">
        <w:rPr>
          <w:lang w:val="fr-CA"/>
        </w:rPr>
        <w:t xml:space="preserve"> </w:t>
      </w:r>
      <w:r>
        <w:rPr>
          <w:lang w:val="fr-CA"/>
        </w:rPr>
        <w:t>était là pour aider avec le livret, mais que sa participation n’a pas été sollicitée pour évaluer la meilleure façon de mettre en évidence les renseignements figurant sur la signalisation ni pour formuler des conseils à cet égard, et qu’on lui a seulement demandé de commenter le livret</w:t>
      </w:r>
      <w:r w:rsidRPr="00AF253F">
        <w:rPr>
          <w:lang w:val="fr-CA"/>
        </w:rPr>
        <w:t xml:space="preserve">. </w:t>
      </w:r>
    </w:p>
    <w:p w:rsidR="001E20A7" w:rsidRPr="00AF253F" w:rsidRDefault="001E20A7" w:rsidP="002B740E">
      <w:pPr>
        <w:rPr>
          <w:lang w:val="fr-CA"/>
        </w:rPr>
      </w:pPr>
      <w:r>
        <w:rPr>
          <w:lang w:val="fr-CA"/>
        </w:rPr>
        <w:t>L’ACSTA</w:t>
      </w:r>
      <w:r w:rsidRPr="00AF253F">
        <w:rPr>
          <w:lang w:val="fr-CA"/>
        </w:rPr>
        <w:t xml:space="preserve"> </w:t>
      </w:r>
      <w:r>
        <w:rPr>
          <w:lang w:val="fr-CA"/>
        </w:rPr>
        <w:t>a indiqué qu’en conséquence de la rétroaction de l’INCA</w:t>
      </w:r>
      <w:r w:rsidRPr="00AF253F">
        <w:rPr>
          <w:lang w:val="fr-CA"/>
        </w:rPr>
        <w:t xml:space="preserve">, </w:t>
      </w:r>
      <w:r>
        <w:rPr>
          <w:lang w:val="fr-CA"/>
        </w:rPr>
        <w:t>elle a renforcé les pages du livret pour en améliorer la solidité sans trop l’alourdir, ainsi que pour changer l’emplacement de la reliure afin d’en faciliter la manipulation</w:t>
      </w:r>
      <w:r w:rsidRPr="00AF253F">
        <w:rPr>
          <w:lang w:val="fr-CA"/>
        </w:rPr>
        <w:t xml:space="preserve">. </w:t>
      </w:r>
      <w:r>
        <w:rPr>
          <w:lang w:val="fr-CA"/>
        </w:rPr>
        <w:t>Elle a ajouté un onglet à chaque page pour indiquer l’endroit où commence la version en braille</w:t>
      </w:r>
      <w:r w:rsidRPr="00AF253F">
        <w:rPr>
          <w:lang w:val="fr-CA"/>
        </w:rPr>
        <w:t>.</w:t>
      </w:r>
    </w:p>
    <w:p w:rsidR="001E20A7" w:rsidRPr="00AF253F" w:rsidRDefault="001E20A7" w:rsidP="001E20A7">
      <w:pPr>
        <w:pStyle w:val="Heading4"/>
        <w:rPr>
          <w:lang w:val="fr-CA"/>
        </w:rPr>
      </w:pPr>
      <w:r>
        <w:rPr>
          <w:lang w:val="fr-CA"/>
        </w:rPr>
        <w:t>P</w:t>
      </w:r>
      <w:r w:rsidRPr="00F859C1">
        <w:rPr>
          <w:lang w:val="fr-CA"/>
        </w:rPr>
        <w:t xml:space="preserve">eu de consultation par l’ACSTA et l’ASFC </w:t>
      </w:r>
    </w:p>
    <w:p w:rsidR="001E20A7" w:rsidRPr="00AF253F" w:rsidRDefault="001E20A7" w:rsidP="002B740E">
      <w:pPr>
        <w:rPr>
          <w:lang w:val="fr-CA"/>
        </w:rPr>
      </w:pPr>
      <w:r>
        <w:rPr>
          <w:lang w:val="fr-CA"/>
        </w:rPr>
        <w:t>La majeure partie des discussions a porté sur les commentaires de la communauté concernant le peu de consultation de la part de l’ACSTA</w:t>
      </w:r>
      <w:r w:rsidRPr="00AF253F">
        <w:rPr>
          <w:lang w:val="fr-CA"/>
        </w:rPr>
        <w:t xml:space="preserve"> </w:t>
      </w:r>
      <w:r>
        <w:rPr>
          <w:lang w:val="fr-CA"/>
        </w:rPr>
        <w:t>et de l’ASFC</w:t>
      </w:r>
      <w:r w:rsidRPr="00AF253F">
        <w:rPr>
          <w:lang w:val="fr-CA"/>
        </w:rPr>
        <w:t xml:space="preserve">. </w:t>
      </w:r>
      <w:r>
        <w:rPr>
          <w:lang w:val="fr-CA"/>
        </w:rPr>
        <w:t xml:space="preserve">La communauté s’est dite déçue de ne pas avoir été consultée plus tôt, et a insisté sur l’importance d’être invitée à prendre part au processus assez tôt, lorsque des solutions sont </w:t>
      </w:r>
      <w:r>
        <w:rPr>
          <w:lang w:val="fr-CA"/>
        </w:rPr>
        <w:lastRenderedPageBreak/>
        <w:t xml:space="preserve">envisagées. La communauté veut participer à la recherche de solutions, parce que ses membres sont les mieux placés pour savoir ce qui fonctionne pour eux. </w:t>
      </w:r>
    </w:p>
    <w:p w:rsidR="001E20A7" w:rsidRPr="00AF253F" w:rsidRDefault="001E20A7" w:rsidP="002B740E">
      <w:pPr>
        <w:rPr>
          <w:lang w:val="fr-CA"/>
        </w:rPr>
      </w:pPr>
      <w:r>
        <w:rPr>
          <w:lang w:val="fr-CA"/>
        </w:rPr>
        <w:t>L’ACSTA</w:t>
      </w:r>
      <w:r w:rsidRPr="00AF253F">
        <w:rPr>
          <w:lang w:val="fr-CA"/>
        </w:rPr>
        <w:t xml:space="preserve"> </w:t>
      </w:r>
      <w:r>
        <w:rPr>
          <w:lang w:val="fr-CA"/>
        </w:rPr>
        <w:t>reconnaît qu’elle aurait dû mener des consultations plus vastes auprès de la communauté avant de déposer sa demande à l’Office. L’ACSTA</w:t>
      </w:r>
      <w:r w:rsidRPr="00AF253F">
        <w:rPr>
          <w:lang w:val="fr-CA"/>
        </w:rPr>
        <w:t xml:space="preserve"> </w:t>
      </w:r>
      <w:r>
        <w:rPr>
          <w:lang w:val="fr-CA"/>
        </w:rPr>
        <w:t>a promis de le faire à l’avenir.</w:t>
      </w:r>
      <w:r w:rsidRPr="00AF253F">
        <w:rPr>
          <w:lang w:val="fr-CA"/>
        </w:rPr>
        <w:t xml:space="preserve"> </w:t>
      </w:r>
      <w:r>
        <w:rPr>
          <w:lang w:val="fr-CA"/>
        </w:rPr>
        <w:t>Elle veut mieux servir la communauté et lui offrir la meilleure expérience possible</w:t>
      </w:r>
      <w:r w:rsidRPr="00AF253F">
        <w:rPr>
          <w:lang w:val="fr-CA"/>
        </w:rPr>
        <w:t>.</w:t>
      </w:r>
    </w:p>
    <w:p w:rsidR="001E20A7" w:rsidRPr="00AF253F" w:rsidRDefault="001E20A7" w:rsidP="002B740E">
      <w:pPr>
        <w:rPr>
          <w:lang w:val="fr-CA"/>
        </w:rPr>
      </w:pPr>
      <w:r>
        <w:rPr>
          <w:lang w:val="fr-CA"/>
        </w:rPr>
        <w:t>L’ASFC</w:t>
      </w:r>
      <w:r w:rsidRPr="00AF253F">
        <w:rPr>
          <w:lang w:val="fr-CA"/>
        </w:rPr>
        <w:t xml:space="preserve"> </w:t>
      </w:r>
      <w:r>
        <w:rPr>
          <w:lang w:val="fr-CA"/>
        </w:rPr>
        <w:t>a reconnu elle aussi que ses consultations auprès de la communauté n’étaient pas ce qu’elles auraient dû être, et elle est entièrement d’accord avec la nécessité de mener des consultations</w:t>
      </w:r>
      <w:r w:rsidRPr="00AF253F">
        <w:rPr>
          <w:lang w:val="fr-CA"/>
        </w:rPr>
        <w:t>.</w:t>
      </w:r>
    </w:p>
    <w:p w:rsidR="001E20A7" w:rsidRPr="00AF253F" w:rsidRDefault="001E20A7" w:rsidP="001E20A7">
      <w:pPr>
        <w:pStyle w:val="Heading4"/>
        <w:rPr>
          <w:lang w:val="fr-CA"/>
        </w:rPr>
      </w:pPr>
      <w:r w:rsidRPr="00AF253F">
        <w:rPr>
          <w:lang w:val="fr-CA"/>
        </w:rPr>
        <w:t>Choi</w:t>
      </w:r>
      <w:r>
        <w:rPr>
          <w:lang w:val="fr-CA"/>
        </w:rPr>
        <w:t>x</w:t>
      </w:r>
    </w:p>
    <w:p w:rsidR="001E20A7" w:rsidRPr="00AF253F" w:rsidRDefault="001E20A7" w:rsidP="002B740E">
      <w:pPr>
        <w:rPr>
          <w:lang w:val="fr-CA"/>
        </w:rPr>
      </w:pPr>
      <w:r>
        <w:rPr>
          <w:lang w:val="fr-CA"/>
        </w:rPr>
        <w:t xml:space="preserve">Des membres de la communauté ont fait remarquer que chacun est différent. </w:t>
      </w:r>
      <w:r w:rsidR="002B740E">
        <w:rPr>
          <w:lang w:val="fr-CA"/>
        </w:rPr>
        <w:br/>
      </w:r>
      <w:r>
        <w:rPr>
          <w:lang w:val="fr-CA"/>
        </w:rPr>
        <w:t>La façon dont une personne circule dans un aéroport sera différente de toutes les autres. Différents choix devraient être offerts, et des agents à la sécurité et aux douanes devraient être disponibles pour répondre aux questions</w:t>
      </w:r>
      <w:r w:rsidRPr="00AF253F">
        <w:rPr>
          <w:lang w:val="fr-CA"/>
        </w:rPr>
        <w:t>.</w:t>
      </w:r>
    </w:p>
    <w:p w:rsidR="001E20A7" w:rsidRPr="00AF253F" w:rsidRDefault="001E20A7" w:rsidP="002B740E">
      <w:pPr>
        <w:rPr>
          <w:lang w:val="fr-CA"/>
        </w:rPr>
      </w:pPr>
      <w:r>
        <w:rPr>
          <w:lang w:val="fr-CA"/>
        </w:rPr>
        <w:t>Il a été suggéré que l’option d’un code QR soit offerte, puisque certains l’utiliseraient. Il est important que les options soient disponibles</w:t>
      </w:r>
      <w:r w:rsidRPr="00AF253F">
        <w:rPr>
          <w:lang w:val="fr-CA"/>
        </w:rPr>
        <w:t>.</w:t>
      </w:r>
    </w:p>
    <w:p w:rsidR="001E20A7" w:rsidRPr="00650146" w:rsidRDefault="001E20A7" w:rsidP="002B740E">
      <w:pPr>
        <w:pStyle w:val="Heading4"/>
        <w:rPr>
          <w:lang w:val="fr-CA"/>
        </w:rPr>
      </w:pPr>
      <w:r w:rsidRPr="00650146">
        <w:rPr>
          <w:lang w:val="fr-CA"/>
        </w:rPr>
        <w:t>Opinions concernant le livret</w:t>
      </w:r>
    </w:p>
    <w:p w:rsidR="001E20A7" w:rsidRPr="00AF253F" w:rsidRDefault="001E20A7" w:rsidP="002B740E">
      <w:pPr>
        <w:rPr>
          <w:lang w:val="fr-CA"/>
        </w:rPr>
      </w:pPr>
      <w:r>
        <w:rPr>
          <w:lang w:val="fr-CA"/>
        </w:rPr>
        <w:t xml:space="preserve">Des membres de la communauté ont fait savoir qu’on ne sait pas si le livret sera </w:t>
      </w:r>
      <w:r w:rsidR="002B740E">
        <w:rPr>
          <w:lang w:val="fr-CA"/>
        </w:rPr>
        <w:br/>
      </w:r>
      <w:r>
        <w:rPr>
          <w:lang w:val="fr-CA"/>
        </w:rPr>
        <w:t>la solution</w:t>
      </w:r>
      <w:r w:rsidRPr="00AF253F">
        <w:rPr>
          <w:lang w:val="fr-CA"/>
        </w:rPr>
        <w:t>.</w:t>
      </w:r>
    </w:p>
    <w:p w:rsidR="001E20A7" w:rsidRPr="00AF253F" w:rsidRDefault="001E20A7" w:rsidP="002B740E">
      <w:pPr>
        <w:rPr>
          <w:lang w:val="fr-CA"/>
        </w:rPr>
      </w:pPr>
      <w:r>
        <w:rPr>
          <w:lang w:val="fr-CA"/>
        </w:rPr>
        <w:t>La communauté fait remarquer que seulement 2 à 3 % des personnes pourraient trouver la version en braille utile</w:t>
      </w:r>
      <w:r w:rsidRPr="00AF253F">
        <w:rPr>
          <w:lang w:val="fr-CA"/>
        </w:rPr>
        <w:t xml:space="preserve">. </w:t>
      </w:r>
    </w:p>
    <w:p w:rsidR="001E20A7" w:rsidRPr="002B740E" w:rsidRDefault="001E20A7" w:rsidP="001E20A7">
      <w:pPr>
        <w:pStyle w:val="Heading2"/>
        <w:rPr>
          <w:lang w:val="fr-CA"/>
        </w:rPr>
      </w:pPr>
      <w:bookmarkStart w:id="6" w:name="_Toc171694983"/>
      <w:r w:rsidRPr="002B740E">
        <w:rPr>
          <w:lang w:val="fr-CA"/>
        </w:rPr>
        <w:t>Prochaines étapes</w:t>
      </w:r>
      <w:bookmarkEnd w:id="6"/>
      <w:r w:rsidRPr="002B740E">
        <w:rPr>
          <w:lang w:val="fr-CA"/>
        </w:rPr>
        <w:t xml:space="preserve"> </w:t>
      </w:r>
    </w:p>
    <w:p w:rsidR="001E20A7" w:rsidRPr="00AF253F" w:rsidRDefault="001E20A7" w:rsidP="002B740E">
      <w:pPr>
        <w:rPr>
          <w:lang w:val="fr-CA"/>
        </w:rPr>
      </w:pPr>
      <w:r>
        <w:rPr>
          <w:lang w:val="fr-CA"/>
        </w:rPr>
        <w:t>Même si la consultation publique est terminée depuis le 20</w:t>
      </w:r>
      <w:r w:rsidR="002B740E">
        <w:rPr>
          <w:lang w:val="fr-CA"/>
        </w:rPr>
        <w:t xml:space="preserve"> </w:t>
      </w:r>
      <w:r>
        <w:rPr>
          <w:lang w:val="fr-CA"/>
        </w:rPr>
        <w:t>juin</w:t>
      </w:r>
      <w:r w:rsidR="002B740E">
        <w:rPr>
          <w:lang w:val="fr-CA"/>
        </w:rPr>
        <w:t xml:space="preserve"> </w:t>
      </w:r>
      <w:r>
        <w:rPr>
          <w:lang w:val="fr-CA"/>
        </w:rPr>
        <w:t>2024, les membres de la communauté qui ont participé à la réunion ont jusqu’au 18</w:t>
      </w:r>
      <w:r w:rsidR="002B740E">
        <w:rPr>
          <w:lang w:val="fr-CA"/>
        </w:rPr>
        <w:t xml:space="preserve"> </w:t>
      </w:r>
      <w:r>
        <w:rPr>
          <w:lang w:val="fr-CA"/>
        </w:rPr>
        <w:t>juillet</w:t>
      </w:r>
      <w:r w:rsidR="002B740E">
        <w:rPr>
          <w:lang w:val="fr-CA"/>
        </w:rPr>
        <w:t xml:space="preserve"> </w:t>
      </w:r>
      <w:r>
        <w:rPr>
          <w:lang w:val="fr-CA"/>
        </w:rPr>
        <w:t>2024 pour présenter des commentaires supplémentaires par écrit concernant les demandes d’exemption de l’ACSTA et de l’ASFC, à la lumière de l’information fournie durant la rencontre</w:t>
      </w:r>
      <w:r w:rsidRPr="00AF253F">
        <w:rPr>
          <w:lang w:val="fr-CA"/>
        </w:rPr>
        <w:t xml:space="preserve">. </w:t>
      </w:r>
    </w:p>
    <w:p w:rsidR="00F5237D" w:rsidRDefault="001E20A7" w:rsidP="002B740E">
      <w:pPr>
        <w:rPr>
          <w:lang w:val="fr-CA"/>
        </w:rPr>
      </w:pPr>
      <w:r>
        <w:rPr>
          <w:lang w:val="fr-CA"/>
        </w:rPr>
        <w:lastRenderedPageBreak/>
        <w:t>La formation de membres de l’Office étudiera toute la rétroaction reçue avant de déterminer s’il convient d’accorder à l’ACSTA et à l’ASFC les exemptions conditionnelles pendant au plus trois ans à l’application de l’exigence prévue à l’alinéa</w:t>
      </w:r>
      <w:r w:rsidR="002B740E">
        <w:rPr>
          <w:lang w:val="fr-CA"/>
        </w:rPr>
        <w:t xml:space="preserve"> </w:t>
      </w:r>
      <w:r w:rsidRPr="00AF253F">
        <w:rPr>
          <w:lang w:val="fr-CA"/>
        </w:rPr>
        <w:t>235(1)d)</w:t>
      </w:r>
      <w:r>
        <w:rPr>
          <w:lang w:val="fr-CA"/>
        </w:rPr>
        <w:t>.</w:t>
      </w:r>
    </w:p>
    <w:sectPr w:rsidR="00F5237D" w:rsidSect="00FF5881">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8F" w:rsidRDefault="00F6488F" w:rsidP="00A06EE7">
      <w:pPr>
        <w:spacing w:after="0" w:line="240" w:lineRule="auto"/>
      </w:pPr>
      <w:r>
        <w:separator/>
      </w:r>
    </w:p>
    <w:p w:rsidR="00F6488F" w:rsidRDefault="00F6488F"/>
  </w:endnote>
  <w:endnote w:type="continuationSeparator" w:id="0">
    <w:p w:rsidR="00F6488F" w:rsidRDefault="00F6488F" w:rsidP="00A06EE7">
      <w:pPr>
        <w:spacing w:after="0" w:line="240" w:lineRule="auto"/>
      </w:pPr>
      <w:r>
        <w:continuationSeparator/>
      </w:r>
    </w:p>
    <w:p w:rsidR="00F6488F" w:rsidRDefault="00F64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9F" w:rsidRPr="00CF510F" w:rsidRDefault="00C02A9F" w:rsidP="00CF510F">
    <w:pPr>
      <w:pStyle w:val="Footer"/>
      <w:pBdr>
        <w:top w:val="single" w:sz="4" w:space="3" w:color="auto"/>
      </w:pBdr>
      <w:tabs>
        <w:tab w:val="clear" w:pos="4680"/>
      </w:tabs>
      <w:spacing w:line="300" w:lineRule="auto"/>
      <w:rPr>
        <w:rFonts w:cstheme="minorBidi"/>
        <w:sz w:val="20"/>
        <w:szCs w:val="20"/>
        <w:highlight w:val="cyan"/>
        <w:lang w:val="en-US" w:eastAsia="en-CA"/>
      </w:rPr>
    </w:pPr>
  </w:p>
  <w:p w:rsidR="00C02A9F" w:rsidRPr="00CF510F" w:rsidRDefault="00C02A9F" w:rsidP="00CF510F">
    <w:pPr>
      <w:pStyle w:val="Footer"/>
      <w:pBdr>
        <w:top w:val="single" w:sz="4" w:space="3" w:color="auto"/>
      </w:pBdr>
      <w:tabs>
        <w:tab w:val="clear" w:pos="4680"/>
      </w:tabs>
      <w:spacing w:line="300" w:lineRule="auto"/>
      <w:rPr>
        <w:rFonts w:cstheme="minorBidi"/>
        <w:sz w:val="20"/>
        <w:szCs w:val="20"/>
        <w:highlight w:val="cyan"/>
        <w:lang w:val="en-US" w:eastAsia="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9F" w:rsidRPr="001F0BD5" w:rsidRDefault="001F0BD5" w:rsidP="001F0BD5">
    <w:pPr>
      <w:pStyle w:val="Footer"/>
      <w:pBdr>
        <w:top w:val="single" w:sz="4" w:space="3" w:color="auto"/>
      </w:pBdr>
      <w:tabs>
        <w:tab w:val="clear" w:pos="4680"/>
      </w:tabs>
      <w:spacing w:line="276" w:lineRule="auto"/>
      <w:rPr>
        <w:rFonts w:cstheme="minorBidi"/>
        <w:sz w:val="22"/>
        <w:szCs w:val="22"/>
        <w:lang w:val="fr-CA" w:eastAsia="en-CA"/>
      </w:rPr>
    </w:pPr>
    <w:r>
      <w:rPr>
        <w:rFonts w:cstheme="minorBidi"/>
        <w:sz w:val="22"/>
        <w:szCs w:val="22"/>
        <w:lang w:val="fr-CA" w:eastAsia="en-CA"/>
      </w:rPr>
      <w:t xml:space="preserve">Office des transports du Canada – </w:t>
    </w:r>
    <w:r w:rsidR="001E20A7" w:rsidRPr="001F0BD5">
      <w:rPr>
        <w:rFonts w:cstheme="minorBidi"/>
        <w:sz w:val="22"/>
        <w:szCs w:val="22"/>
        <w:lang w:val="fr-CA" w:eastAsia="en-CA"/>
      </w:rPr>
      <w:t xml:space="preserve">Rencontre de consultation sur les demandes présentées par l’ACSTA et l’ASFC pour une exemption conditionnelle aux exigences visant la signalisation tactile prévues dans le </w:t>
    </w:r>
    <w:r w:rsidR="00650146" w:rsidRPr="001F0BD5">
      <w:rPr>
        <w:rFonts w:cstheme="minorBidi"/>
        <w:sz w:val="22"/>
        <w:szCs w:val="22"/>
        <w:lang w:val="fr-CA" w:eastAsia="en-CA"/>
      </w:rPr>
      <w:t>RTAPH</w:t>
    </w:r>
    <w:r w:rsidR="001E20A7" w:rsidRPr="001F0BD5">
      <w:rPr>
        <w:rFonts w:cstheme="minorBidi"/>
        <w:sz w:val="22"/>
        <w:szCs w:val="22"/>
        <w:lang w:val="fr-CA" w:eastAsia="en-CA"/>
      </w:rPr>
      <w:t xml:space="preserve"> : ce que nous avons entendu </w:t>
    </w:r>
    <w:r>
      <w:rPr>
        <w:rFonts w:cstheme="minorBidi"/>
        <w:sz w:val="22"/>
        <w:szCs w:val="22"/>
        <w:lang w:val="fr-CA" w:eastAsia="en-CA"/>
      </w:rPr>
      <w:tab/>
    </w:r>
    <w:r w:rsidRPr="00B24414">
      <w:rPr>
        <w:sz w:val="22"/>
        <w:szCs w:val="22"/>
      </w:rPr>
      <w:fldChar w:fldCharType="begin"/>
    </w:r>
    <w:r w:rsidRPr="001F0BD5">
      <w:rPr>
        <w:sz w:val="22"/>
        <w:szCs w:val="22"/>
        <w:lang w:val="fr-CA"/>
      </w:rPr>
      <w:instrText xml:space="preserve"> PAGE   \* MERGEFORMAT </w:instrText>
    </w:r>
    <w:r w:rsidRPr="00B24414">
      <w:rPr>
        <w:sz w:val="22"/>
        <w:szCs w:val="22"/>
      </w:rPr>
      <w:fldChar w:fldCharType="separate"/>
    </w:r>
    <w:r w:rsidR="00D06384">
      <w:rPr>
        <w:noProof/>
        <w:sz w:val="22"/>
        <w:szCs w:val="22"/>
        <w:lang w:val="fr-CA"/>
      </w:rPr>
      <w:t>9</w:t>
    </w:r>
    <w:r w:rsidRPr="00B24414">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8F" w:rsidRDefault="00F6488F" w:rsidP="00A06EE7">
      <w:pPr>
        <w:spacing w:after="0" w:line="240" w:lineRule="auto"/>
      </w:pPr>
      <w:r>
        <w:separator/>
      </w:r>
    </w:p>
    <w:p w:rsidR="00F6488F" w:rsidRDefault="00F6488F"/>
  </w:footnote>
  <w:footnote w:type="continuationSeparator" w:id="0">
    <w:p w:rsidR="00F6488F" w:rsidRDefault="00F6488F" w:rsidP="00A06EE7">
      <w:pPr>
        <w:spacing w:after="0" w:line="240" w:lineRule="auto"/>
      </w:pPr>
      <w:r>
        <w:continuationSeparator/>
      </w:r>
    </w:p>
    <w:p w:rsidR="00F6488F" w:rsidRDefault="00F6488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82"/>
    <w:multiLevelType w:val="multilevel"/>
    <w:tmpl w:val="A2D2006E"/>
    <w:styleLink w:val="ParaSecretariat"/>
    <w:lvl w:ilvl="0">
      <w:start w:val="1"/>
      <w:numFmt w:val="decimal"/>
      <w:lvlText w:val="[%1]"/>
      <w:lvlJc w:val="left"/>
      <w:pPr>
        <w:ind w:left="0" w:hanging="720"/>
      </w:pPr>
      <w:rPr>
        <w:rFonts w:hint="default"/>
      </w:rPr>
    </w:lvl>
    <w:lvl w:ilvl="1">
      <w:start w:val="1"/>
      <w:numFmt w:val="decimal"/>
      <w:lvlText w:val="[%2]"/>
      <w:lvlJc w:val="left"/>
      <w:pPr>
        <w:ind w:left="0" w:hanging="720"/>
      </w:pPr>
      <w:rPr>
        <w:rFonts w:hint="default"/>
      </w:rPr>
    </w:lvl>
    <w:lvl w:ilvl="2">
      <w:start w:val="1"/>
      <w:numFmt w:val="decimal"/>
      <w:lvlText w:val="[%3]"/>
      <w:lvlJc w:val="left"/>
      <w:pPr>
        <w:ind w:left="0" w:hanging="720"/>
      </w:pPr>
      <w:rPr>
        <w:rFonts w:hint="default"/>
      </w:rPr>
    </w:lvl>
    <w:lvl w:ilvl="3">
      <w:start w:val="1"/>
      <w:numFmt w:val="decimal"/>
      <w:lvlText w:val="[%4]"/>
      <w:lvlJc w:val="left"/>
      <w:pPr>
        <w:ind w:left="0" w:hanging="720"/>
      </w:pPr>
      <w:rPr>
        <w:rFonts w:hint="default"/>
      </w:rPr>
    </w:lvl>
    <w:lvl w:ilvl="4">
      <w:start w:val="1"/>
      <w:numFmt w:val="decimal"/>
      <w:lvlText w:val="[%5]"/>
      <w:lvlJc w:val="left"/>
      <w:pPr>
        <w:ind w:left="0" w:hanging="720"/>
      </w:pPr>
      <w:rPr>
        <w:rFonts w:hint="default"/>
      </w:rPr>
    </w:lvl>
    <w:lvl w:ilvl="5">
      <w:start w:val="1"/>
      <w:numFmt w:val="decimal"/>
      <w:lvlText w:val="[%6]"/>
      <w:lvlJc w:val="left"/>
      <w:pPr>
        <w:ind w:left="0" w:hanging="720"/>
      </w:pPr>
      <w:rPr>
        <w:rFonts w:hint="default"/>
      </w:rPr>
    </w:lvl>
    <w:lvl w:ilvl="6">
      <w:start w:val="1"/>
      <w:numFmt w:val="decimal"/>
      <w:lvlText w:val="[%7]"/>
      <w:lvlJc w:val="left"/>
      <w:pPr>
        <w:ind w:left="0" w:hanging="720"/>
      </w:pPr>
      <w:rPr>
        <w:rFonts w:hint="default"/>
      </w:rPr>
    </w:lvl>
    <w:lvl w:ilvl="7">
      <w:start w:val="1"/>
      <w:numFmt w:val="decimal"/>
      <w:lvlText w:val="[%8]"/>
      <w:lvlJc w:val="left"/>
      <w:pPr>
        <w:ind w:left="0" w:hanging="720"/>
      </w:pPr>
      <w:rPr>
        <w:rFonts w:hint="default"/>
      </w:rPr>
    </w:lvl>
    <w:lvl w:ilvl="8">
      <w:start w:val="1"/>
      <w:numFmt w:val="decimal"/>
      <w:lvlText w:val="[%9]"/>
      <w:lvlJc w:val="left"/>
      <w:pPr>
        <w:ind w:left="0" w:hanging="720"/>
      </w:pPr>
      <w:rPr>
        <w:rFonts w:hint="default"/>
      </w:rPr>
    </w:lvl>
  </w:abstractNum>
  <w:abstractNum w:abstractNumId="1" w15:restartNumberingAfterBreak="0">
    <w:nsid w:val="0C4570C0"/>
    <w:multiLevelType w:val="hybridMultilevel"/>
    <w:tmpl w:val="9B78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2D75"/>
    <w:multiLevelType w:val="hybridMultilevel"/>
    <w:tmpl w:val="3EF8FCFC"/>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3" w15:restartNumberingAfterBreak="0">
    <w:nsid w:val="13E979D8"/>
    <w:multiLevelType w:val="hybridMultilevel"/>
    <w:tmpl w:val="154C46B4"/>
    <w:lvl w:ilvl="0" w:tplc="B9661A5C">
      <w:start w:val="1"/>
      <w:numFmt w:val="decimal"/>
      <w:pStyle w:val="ListParagraph"/>
      <w:lvlText w:val="%1."/>
      <w:lvlJc w:val="left"/>
      <w:pPr>
        <w:ind w:left="720" w:hanging="360"/>
      </w:pPr>
      <w:rPr>
        <w:rFonts w:hint="default"/>
        <w:lang w:val="fr-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33A75"/>
    <w:multiLevelType w:val="hybridMultilevel"/>
    <w:tmpl w:val="A0AA1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AB4619"/>
    <w:multiLevelType w:val="hybridMultilevel"/>
    <w:tmpl w:val="E076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56A9D"/>
    <w:multiLevelType w:val="hybridMultilevel"/>
    <w:tmpl w:val="FDCABC88"/>
    <w:lvl w:ilvl="0" w:tplc="58B23B6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61552"/>
    <w:multiLevelType w:val="hybridMultilevel"/>
    <w:tmpl w:val="1A4A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B1190"/>
    <w:multiLevelType w:val="hybridMultilevel"/>
    <w:tmpl w:val="FD80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16351"/>
    <w:multiLevelType w:val="hybridMultilevel"/>
    <w:tmpl w:val="7D4A032E"/>
    <w:lvl w:ilvl="0" w:tplc="65E698AE">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297777"/>
    <w:multiLevelType w:val="hybridMultilevel"/>
    <w:tmpl w:val="46B86244"/>
    <w:lvl w:ilvl="0" w:tplc="4A6A57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0240D"/>
    <w:multiLevelType w:val="hybridMultilevel"/>
    <w:tmpl w:val="929C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E64B1"/>
    <w:multiLevelType w:val="hybridMultilevel"/>
    <w:tmpl w:val="C9B22F06"/>
    <w:lvl w:ilvl="0" w:tplc="2D8CCC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7C73D4"/>
    <w:multiLevelType w:val="hybridMultilevel"/>
    <w:tmpl w:val="C894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A3DFB"/>
    <w:multiLevelType w:val="hybridMultilevel"/>
    <w:tmpl w:val="095C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72EF3"/>
    <w:multiLevelType w:val="hybridMultilevel"/>
    <w:tmpl w:val="C5D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65B8F"/>
    <w:multiLevelType w:val="hybridMultilevel"/>
    <w:tmpl w:val="A4AC0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286A74"/>
    <w:multiLevelType w:val="hybridMultilevel"/>
    <w:tmpl w:val="B642ACD2"/>
    <w:lvl w:ilvl="0" w:tplc="7C52E006">
      <w:start w:val="1"/>
      <w:numFmt w:val="decimal"/>
      <w:pStyle w:val="Heading2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CC26DB"/>
    <w:multiLevelType w:val="hybridMultilevel"/>
    <w:tmpl w:val="EA9ADA4C"/>
    <w:lvl w:ilvl="0" w:tplc="29528820">
      <w:start w:val="1"/>
      <w:numFmt w:val="bullet"/>
      <w:pStyle w:val="Listparagraphbullets-nospaceaf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D6CB7"/>
    <w:multiLevelType w:val="hybridMultilevel"/>
    <w:tmpl w:val="10AC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90C6B"/>
    <w:multiLevelType w:val="hybridMultilevel"/>
    <w:tmpl w:val="4066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A7B5D"/>
    <w:multiLevelType w:val="hybridMultilevel"/>
    <w:tmpl w:val="EB5A89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17"/>
  </w:num>
  <w:num w:numId="3">
    <w:abstractNumId w:val="9"/>
  </w:num>
  <w:num w:numId="4">
    <w:abstractNumId w:val="8"/>
  </w:num>
  <w:num w:numId="5">
    <w:abstractNumId w:val="12"/>
  </w:num>
  <w:num w:numId="6">
    <w:abstractNumId w:val="6"/>
  </w:num>
  <w:num w:numId="7">
    <w:abstractNumId w:val="4"/>
  </w:num>
  <w:num w:numId="8">
    <w:abstractNumId w:val="20"/>
  </w:num>
  <w:num w:numId="9">
    <w:abstractNumId w:val="21"/>
  </w:num>
  <w:num w:numId="10">
    <w:abstractNumId w:val="14"/>
  </w:num>
  <w:num w:numId="11">
    <w:abstractNumId w:val="19"/>
  </w:num>
  <w:num w:numId="12">
    <w:abstractNumId w:val="11"/>
  </w:num>
  <w:num w:numId="13">
    <w:abstractNumId w:val="3"/>
  </w:num>
  <w:num w:numId="14">
    <w:abstractNumId w:val="2"/>
  </w:num>
  <w:num w:numId="15">
    <w:abstractNumId w:val="5"/>
  </w:num>
  <w:num w:numId="16">
    <w:abstractNumId w:val="7"/>
  </w:num>
  <w:num w:numId="17">
    <w:abstractNumId w:val="10"/>
  </w:num>
  <w:num w:numId="18">
    <w:abstractNumId w:val="13"/>
  </w:num>
  <w:num w:numId="19">
    <w:abstractNumId w:val="18"/>
  </w:num>
  <w:num w:numId="20">
    <w:abstractNumId w:val="1"/>
  </w:num>
  <w:num w:numId="21">
    <w:abstractNumId w:val="16"/>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proofState w:spelling="clean"/>
  <w:stylePaneSortMethod w:val="000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8F"/>
    <w:rsid w:val="00001A10"/>
    <w:rsid w:val="0000203C"/>
    <w:rsid w:val="000053F2"/>
    <w:rsid w:val="000054DE"/>
    <w:rsid w:val="0000603F"/>
    <w:rsid w:val="00010A08"/>
    <w:rsid w:val="00013CDC"/>
    <w:rsid w:val="00013D50"/>
    <w:rsid w:val="000143F4"/>
    <w:rsid w:val="00015492"/>
    <w:rsid w:val="00015C88"/>
    <w:rsid w:val="00017083"/>
    <w:rsid w:val="00017B06"/>
    <w:rsid w:val="00020877"/>
    <w:rsid w:val="00021051"/>
    <w:rsid w:val="000225A4"/>
    <w:rsid w:val="00023BA5"/>
    <w:rsid w:val="0002633D"/>
    <w:rsid w:val="00027F1A"/>
    <w:rsid w:val="0003198B"/>
    <w:rsid w:val="00032106"/>
    <w:rsid w:val="000321EC"/>
    <w:rsid w:val="000322DC"/>
    <w:rsid w:val="0003374B"/>
    <w:rsid w:val="00034A43"/>
    <w:rsid w:val="00035F13"/>
    <w:rsid w:val="000370D6"/>
    <w:rsid w:val="00037210"/>
    <w:rsid w:val="00037983"/>
    <w:rsid w:val="000414E2"/>
    <w:rsid w:val="000426A6"/>
    <w:rsid w:val="00042D18"/>
    <w:rsid w:val="00043D19"/>
    <w:rsid w:val="000463D6"/>
    <w:rsid w:val="00046699"/>
    <w:rsid w:val="000533BE"/>
    <w:rsid w:val="0005392A"/>
    <w:rsid w:val="00055E5C"/>
    <w:rsid w:val="0005690C"/>
    <w:rsid w:val="000569E2"/>
    <w:rsid w:val="00056E86"/>
    <w:rsid w:val="00060B76"/>
    <w:rsid w:val="00060BF7"/>
    <w:rsid w:val="00061003"/>
    <w:rsid w:val="00061AD2"/>
    <w:rsid w:val="00066D93"/>
    <w:rsid w:val="000677A1"/>
    <w:rsid w:val="00071246"/>
    <w:rsid w:val="000717F2"/>
    <w:rsid w:val="0007250D"/>
    <w:rsid w:val="000726B0"/>
    <w:rsid w:val="00072DA3"/>
    <w:rsid w:val="00073637"/>
    <w:rsid w:val="00073DD5"/>
    <w:rsid w:val="00076449"/>
    <w:rsid w:val="00076BC5"/>
    <w:rsid w:val="00076F9B"/>
    <w:rsid w:val="00077973"/>
    <w:rsid w:val="00084E46"/>
    <w:rsid w:val="00084FA4"/>
    <w:rsid w:val="00085148"/>
    <w:rsid w:val="00085E57"/>
    <w:rsid w:val="00087559"/>
    <w:rsid w:val="00094846"/>
    <w:rsid w:val="000975DD"/>
    <w:rsid w:val="00097642"/>
    <w:rsid w:val="000A0665"/>
    <w:rsid w:val="000A082F"/>
    <w:rsid w:val="000A1249"/>
    <w:rsid w:val="000A1B73"/>
    <w:rsid w:val="000A5D3C"/>
    <w:rsid w:val="000A5F6D"/>
    <w:rsid w:val="000B18D7"/>
    <w:rsid w:val="000B38FF"/>
    <w:rsid w:val="000B4FDA"/>
    <w:rsid w:val="000B53F8"/>
    <w:rsid w:val="000B7B06"/>
    <w:rsid w:val="000C0F18"/>
    <w:rsid w:val="000C1C35"/>
    <w:rsid w:val="000C21B0"/>
    <w:rsid w:val="000C4746"/>
    <w:rsid w:val="000C5482"/>
    <w:rsid w:val="000C5525"/>
    <w:rsid w:val="000C5900"/>
    <w:rsid w:val="000C5FCB"/>
    <w:rsid w:val="000C6338"/>
    <w:rsid w:val="000D0581"/>
    <w:rsid w:val="000D33EE"/>
    <w:rsid w:val="000D5CA4"/>
    <w:rsid w:val="000D61D6"/>
    <w:rsid w:val="000D67BD"/>
    <w:rsid w:val="000D69EF"/>
    <w:rsid w:val="000E069F"/>
    <w:rsid w:val="000E4E22"/>
    <w:rsid w:val="000F1017"/>
    <w:rsid w:val="000F1D42"/>
    <w:rsid w:val="000F4C7E"/>
    <w:rsid w:val="000F5716"/>
    <w:rsid w:val="000F654F"/>
    <w:rsid w:val="000F69D3"/>
    <w:rsid w:val="000F7DB8"/>
    <w:rsid w:val="0010170E"/>
    <w:rsid w:val="00104519"/>
    <w:rsid w:val="00105183"/>
    <w:rsid w:val="00105D06"/>
    <w:rsid w:val="00106356"/>
    <w:rsid w:val="00112C5B"/>
    <w:rsid w:val="0011305D"/>
    <w:rsid w:val="00113BDC"/>
    <w:rsid w:val="00114CE6"/>
    <w:rsid w:val="00115176"/>
    <w:rsid w:val="00117F34"/>
    <w:rsid w:val="001209CE"/>
    <w:rsid w:val="00121825"/>
    <w:rsid w:val="00123E68"/>
    <w:rsid w:val="00125E83"/>
    <w:rsid w:val="00127C96"/>
    <w:rsid w:val="0013167B"/>
    <w:rsid w:val="00132C47"/>
    <w:rsid w:val="0013531D"/>
    <w:rsid w:val="00136551"/>
    <w:rsid w:val="00141E16"/>
    <w:rsid w:val="0014288D"/>
    <w:rsid w:val="001428FD"/>
    <w:rsid w:val="00142DE1"/>
    <w:rsid w:val="0015244B"/>
    <w:rsid w:val="00154EB7"/>
    <w:rsid w:val="00154F7E"/>
    <w:rsid w:val="00155460"/>
    <w:rsid w:val="0015697A"/>
    <w:rsid w:val="00157382"/>
    <w:rsid w:val="00157E70"/>
    <w:rsid w:val="00160877"/>
    <w:rsid w:val="00163740"/>
    <w:rsid w:val="0016579E"/>
    <w:rsid w:val="00165CBE"/>
    <w:rsid w:val="00170A04"/>
    <w:rsid w:val="0017225E"/>
    <w:rsid w:val="00172D61"/>
    <w:rsid w:val="0017365D"/>
    <w:rsid w:val="0017372D"/>
    <w:rsid w:val="00174F6C"/>
    <w:rsid w:val="00176A24"/>
    <w:rsid w:val="00176D01"/>
    <w:rsid w:val="00177F36"/>
    <w:rsid w:val="00180A89"/>
    <w:rsid w:val="00180AE2"/>
    <w:rsid w:val="00185421"/>
    <w:rsid w:val="00187291"/>
    <w:rsid w:val="00190356"/>
    <w:rsid w:val="00191147"/>
    <w:rsid w:val="001913EE"/>
    <w:rsid w:val="00193305"/>
    <w:rsid w:val="00197747"/>
    <w:rsid w:val="001A1419"/>
    <w:rsid w:val="001A1D61"/>
    <w:rsid w:val="001A29D1"/>
    <w:rsid w:val="001A7EF4"/>
    <w:rsid w:val="001B2F49"/>
    <w:rsid w:val="001B4BF8"/>
    <w:rsid w:val="001B5BF0"/>
    <w:rsid w:val="001C1099"/>
    <w:rsid w:val="001C170E"/>
    <w:rsid w:val="001C1DBF"/>
    <w:rsid w:val="001C5B7C"/>
    <w:rsid w:val="001C611A"/>
    <w:rsid w:val="001C6A7B"/>
    <w:rsid w:val="001D252F"/>
    <w:rsid w:val="001D3070"/>
    <w:rsid w:val="001D4286"/>
    <w:rsid w:val="001D5810"/>
    <w:rsid w:val="001D5DD5"/>
    <w:rsid w:val="001D7074"/>
    <w:rsid w:val="001D75D6"/>
    <w:rsid w:val="001D7BDE"/>
    <w:rsid w:val="001E20A7"/>
    <w:rsid w:val="001E2412"/>
    <w:rsid w:val="001E3779"/>
    <w:rsid w:val="001E4517"/>
    <w:rsid w:val="001E5018"/>
    <w:rsid w:val="001E6480"/>
    <w:rsid w:val="001E675D"/>
    <w:rsid w:val="001E7DE3"/>
    <w:rsid w:val="001F017B"/>
    <w:rsid w:val="001F02F4"/>
    <w:rsid w:val="001F0BD5"/>
    <w:rsid w:val="001F15F3"/>
    <w:rsid w:val="001F1AF9"/>
    <w:rsid w:val="001F26CB"/>
    <w:rsid w:val="001F2D6E"/>
    <w:rsid w:val="001F4170"/>
    <w:rsid w:val="001F48BE"/>
    <w:rsid w:val="001F7DEB"/>
    <w:rsid w:val="00201646"/>
    <w:rsid w:val="0020285E"/>
    <w:rsid w:val="0020481B"/>
    <w:rsid w:val="00204C73"/>
    <w:rsid w:val="0020564C"/>
    <w:rsid w:val="00206831"/>
    <w:rsid w:val="00211C5B"/>
    <w:rsid w:val="00213BD8"/>
    <w:rsid w:val="00215C3F"/>
    <w:rsid w:val="00216E86"/>
    <w:rsid w:val="00217333"/>
    <w:rsid w:val="002201FA"/>
    <w:rsid w:val="0022042D"/>
    <w:rsid w:val="0022134B"/>
    <w:rsid w:val="00222004"/>
    <w:rsid w:val="00223320"/>
    <w:rsid w:val="00223D45"/>
    <w:rsid w:val="0022423B"/>
    <w:rsid w:val="00224C18"/>
    <w:rsid w:val="0022565C"/>
    <w:rsid w:val="00230722"/>
    <w:rsid w:val="002312FA"/>
    <w:rsid w:val="00233A56"/>
    <w:rsid w:val="002344D9"/>
    <w:rsid w:val="002350C3"/>
    <w:rsid w:val="00235E62"/>
    <w:rsid w:val="0023614F"/>
    <w:rsid w:val="002373A0"/>
    <w:rsid w:val="00237C5F"/>
    <w:rsid w:val="00240D9F"/>
    <w:rsid w:val="00241004"/>
    <w:rsid w:val="00243A31"/>
    <w:rsid w:val="00244540"/>
    <w:rsid w:val="002473A4"/>
    <w:rsid w:val="00250068"/>
    <w:rsid w:val="00252F82"/>
    <w:rsid w:val="00253A2E"/>
    <w:rsid w:val="002557B0"/>
    <w:rsid w:val="00256660"/>
    <w:rsid w:val="00257215"/>
    <w:rsid w:val="00257577"/>
    <w:rsid w:val="00257D73"/>
    <w:rsid w:val="00257F00"/>
    <w:rsid w:val="00260FE2"/>
    <w:rsid w:val="00261AC4"/>
    <w:rsid w:val="00263A7A"/>
    <w:rsid w:val="00265795"/>
    <w:rsid w:val="00266575"/>
    <w:rsid w:val="002708C5"/>
    <w:rsid w:val="00271B04"/>
    <w:rsid w:val="00272268"/>
    <w:rsid w:val="00272A2D"/>
    <w:rsid w:val="002732D8"/>
    <w:rsid w:val="002744E4"/>
    <w:rsid w:val="00275046"/>
    <w:rsid w:val="00281A13"/>
    <w:rsid w:val="00283B8B"/>
    <w:rsid w:val="00284B43"/>
    <w:rsid w:val="00287936"/>
    <w:rsid w:val="00290E67"/>
    <w:rsid w:val="00292677"/>
    <w:rsid w:val="002928EE"/>
    <w:rsid w:val="002928F7"/>
    <w:rsid w:val="0029375F"/>
    <w:rsid w:val="00295AB6"/>
    <w:rsid w:val="002964DF"/>
    <w:rsid w:val="002A03DC"/>
    <w:rsid w:val="002A5AFD"/>
    <w:rsid w:val="002A5C63"/>
    <w:rsid w:val="002A5E25"/>
    <w:rsid w:val="002A6616"/>
    <w:rsid w:val="002A7B72"/>
    <w:rsid w:val="002B6061"/>
    <w:rsid w:val="002B740E"/>
    <w:rsid w:val="002C1675"/>
    <w:rsid w:val="002C5DEB"/>
    <w:rsid w:val="002C68E6"/>
    <w:rsid w:val="002C79DF"/>
    <w:rsid w:val="002D0114"/>
    <w:rsid w:val="002D05FB"/>
    <w:rsid w:val="002D1682"/>
    <w:rsid w:val="002D404F"/>
    <w:rsid w:val="002D6DAD"/>
    <w:rsid w:val="002D771E"/>
    <w:rsid w:val="002D7B81"/>
    <w:rsid w:val="002E1134"/>
    <w:rsid w:val="002E1709"/>
    <w:rsid w:val="002E1D4E"/>
    <w:rsid w:val="002E2CD1"/>
    <w:rsid w:val="002E3426"/>
    <w:rsid w:val="002E3A43"/>
    <w:rsid w:val="002F0118"/>
    <w:rsid w:val="002F22DD"/>
    <w:rsid w:val="002F262B"/>
    <w:rsid w:val="002F27E4"/>
    <w:rsid w:val="002F2CE5"/>
    <w:rsid w:val="002F36F5"/>
    <w:rsid w:val="002F396B"/>
    <w:rsid w:val="002F43D4"/>
    <w:rsid w:val="002F442C"/>
    <w:rsid w:val="002F507D"/>
    <w:rsid w:val="00300280"/>
    <w:rsid w:val="00300A78"/>
    <w:rsid w:val="00301454"/>
    <w:rsid w:val="00302623"/>
    <w:rsid w:val="00302937"/>
    <w:rsid w:val="0030392B"/>
    <w:rsid w:val="00304201"/>
    <w:rsid w:val="00306B5B"/>
    <w:rsid w:val="00306F1E"/>
    <w:rsid w:val="00306F9E"/>
    <w:rsid w:val="003070A8"/>
    <w:rsid w:val="00307B61"/>
    <w:rsid w:val="003104D8"/>
    <w:rsid w:val="00310688"/>
    <w:rsid w:val="00311D32"/>
    <w:rsid w:val="003125EF"/>
    <w:rsid w:val="00313092"/>
    <w:rsid w:val="003147AB"/>
    <w:rsid w:val="003148B3"/>
    <w:rsid w:val="003221C8"/>
    <w:rsid w:val="00322D60"/>
    <w:rsid w:val="003230A7"/>
    <w:rsid w:val="003253F6"/>
    <w:rsid w:val="0032571A"/>
    <w:rsid w:val="003263D3"/>
    <w:rsid w:val="0032741B"/>
    <w:rsid w:val="00330D4C"/>
    <w:rsid w:val="00330DA1"/>
    <w:rsid w:val="0033174F"/>
    <w:rsid w:val="003329E0"/>
    <w:rsid w:val="00333A47"/>
    <w:rsid w:val="00334039"/>
    <w:rsid w:val="00335AFA"/>
    <w:rsid w:val="00336036"/>
    <w:rsid w:val="00336CC8"/>
    <w:rsid w:val="003375DA"/>
    <w:rsid w:val="003401E6"/>
    <w:rsid w:val="00340B11"/>
    <w:rsid w:val="00342371"/>
    <w:rsid w:val="0034373E"/>
    <w:rsid w:val="003443F3"/>
    <w:rsid w:val="00345DA0"/>
    <w:rsid w:val="00347ACB"/>
    <w:rsid w:val="003520F4"/>
    <w:rsid w:val="00356567"/>
    <w:rsid w:val="00356A2E"/>
    <w:rsid w:val="003608D4"/>
    <w:rsid w:val="0036243C"/>
    <w:rsid w:val="003627FB"/>
    <w:rsid w:val="0036282A"/>
    <w:rsid w:val="00363F59"/>
    <w:rsid w:val="00364EF5"/>
    <w:rsid w:val="00366944"/>
    <w:rsid w:val="003722FE"/>
    <w:rsid w:val="00373964"/>
    <w:rsid w:val="00374639"/>
    <w:rsid w:val="00375E19"/>
    <w:rsid w:val="00375E5B"/>
    <w:rsid w:val="0038182A"/>
    <w:rsid w:val="00383FDC"/>
    <w:rsid w:val="003852B7"/>
    <w:rsid w:val="0038600B"/>
    <w:rsid w:val="0038689C"/>
    <w:rsid w:val="003874CF"/>
    <w:rsid w:val="00390C7B"/>
    <w:rsid w:val="00392782"/>
    <w:rsid w:val="003928E1"/>
    <w:rsid w:val="00392B3F"/>
    <w:rsid w:val="00393260"/>
    <w:rsid w:val="003938F2"/>
    <w:rsid w:val="00395011"/>
    <w:rsid w:val="003955AF"/>
    <w:rsid w:val="00395D85"/>
    <w:rsid w:val="00395E10"/>
    <w:rsid w:val="00395F41"/>
    <w:rsid w:val="0039718A"/>
    <w:rsid w:val="003979FF"/>
    <w:rsid w:val="003A6511"/>
    <w:rsid w:val="003A70D9"/>
    <w:rsid w:val="003B1493"/>
    <w:rsid w:val="003B2B33"/>
    <w:rsid w:val="003B43B7"/>
    <w:rsid w:val="003B75EE"/>
    <w:rsid w:val="003C046E"/>
    <w:rsid w:val="003C0EC1"/>
    <w:rsid w:val="003C204B"/>
    <w:rsid w:val="003C5E18"/>
    <w:rsid w:val="003D07AD"/>
    <w:rsid w:val="003D1120"/>
    <w:rsid w:val="003D11E0"/>
    <w:rsid w:val="003D2DCA"/>
    <w:rsid w:val="003D4418"/>
    <w:rsid w:val="003D5667"/>
    <w:rsid w:val="003D5EF8"/>
    <w:rsid w:val="003D6418"/>
    <w:rsid w:val="003D7170"/>
    <w:rsid w:val="003D7465"/>
    <w:rsid w:val="003D7BFA"/>
    <w:rsid w:val="003E0D2F"/>
    <w:rsid w:val="003E4C1A"/>
    <w:rsid w:val="003F5FC6"/>
    <w:rsid w:val="003F6073"/>
    <w:rsid w:val="00402A86"/>
    <w:rsid w:val="00403662"/>
    <w:rsid w:val="004042B2"/>
    <w:rsid w:val="0040543A"/>
    <w:rsid w:val="00405E67"/>
    <w:rsid w:val="004074E0"/>
    <w:rsid w:val="00412BC9"/>
    <w:rsid w:val="00414549"/>
    <w:rsid w:val="004173EE"/>
    <w:rsid w:val="004174B0"/>
    <w:rsid w:val="004179DA"/>
    <w:rsid w:val="00417CAF"/>
    <w:rsid w:val="00421006"/>
    <w:rsid w:val="00421350"/>
    <w:rsid w:val="00423970"/>
    <w:rsid w:val="00424F4B"/>
    <w:rsid w:val="00425A1E"/>
    <w:rsid w:val="004306C1"/>
    <w:rsid w:val="00430BEF"/>
    <w:rsid w:val="00432854"/>
    <w:rsid w:val="00432B25"/>
    <w:rsid w:val="004368CF"/>
    <w:rsid w:val="00440BB9"/>
    <w:rsid w:val="00441F2D"/>
    <w:rsid w:val="00443632"/>
    <w:rsid w:val="00444FDF"/>
    <w:rsid w:val="0044509F"/>
    <w:rsid w:val="00445C9D"/>
    <w:rsid w:val="00445DEA"/>
    <w:rsid w:val="004465C8"/>
    <w:rsid w:val="00446EB3"/>
    <w:rsid w:val="00447173"/>
    <w:rsid w:val="00450B1A"/>
    <w:rsid w:val="00451225"/>
    <w:rsid w:val="00451B0F"/>
    <w:rsid w:val="00456F87"/>
    <w:rsid w:val="00457B0F"/>
    <w:rsid w:val="00461F52"/>
    <w:rsid w:val="004623D7"/>
    <w:rsid w:val="004637A2"/>
    <w:rsid w:val="00464598"/>
    <w:rsid w:val="0047029B"/>
    <w:rsid w:val="00470B05"/>
    <w:rsid w:val="004742FB"/>
    <w:rsid w:val="00476D6E"/>
    <w:rsid w:val="00476E23"/>
    <w:rsid w:val="004774A0"/>
    <w:rsid w:val="00483B4E"/>
    <w:rsid w:val="004848B6"/>
    <w:rsid w:val="00484A0A"/>
    <w:rsid w:val="00484B94"/>
    <w:rsid w:val="00486777"/>
    <w:rsid w:val="0048747B"/>
    <w:rsid w:val="00487E6A"/>
    <w:rsid w:val="004903F4"/>
    <w:rsid w:val="00492AC2"/>
    <w:rsid w:val="00492FEA"/>
    <w:rsid w:val="004935F0"/>
    <w:rsid w:val="00493AF9"/>
    <w:rsid w:val="004A132E"/>
    <w:rsid w:val="004A1F5B"/>
    <w:rsid w:val="004A25A0"/>
    <w:rsid w:val="004A27B2"/>
    <w:rsid w:val="004A2E7A"/>
    <w:rsid w:val="004A6BAC"/>
    <w:rsid w:val="004A7218"/>
    <w:rsid w:val="004A7DFB"/>
    <w:rsid w:val="004B0A81"/>
    <w:rsid w:val="004B4324"/>
    <w:rsid w:val="004B7496"/>
    <w:rsid w:val="004B7EB9"/>
    <w:rsid w:val="004C29E4"/>
    <w:rsid w:val="004C3A69"/>
    <w:rsid w:val="004C3C33"/>
    <w:rsid w:val="004D25C1"/>
    <w:rsid w:val="004D4103"/>
    <w:rsid w:val="004E15BE"/>
    <w:rsid w:val="004E24C2"/>
    <w:rsid w:val="004E3C5E"/>
    <w:rsid w:val="004E4B66"/>
    <w:rsid w:val="004E4BA3"/>
    <w:rsid w:val="004E74E3"/>
    <w:rsid w:val="004E7B57"/>
    <w:rsid w:val="004F01F0"/>
    <w:rsid w:val="004F0977"/>
    <w:rsid w:val="004F2FEC"/>
    <w:rsid w:val="004F579B"/>
    <w:rsid w:val="0050148A"/>
    <w:rsid w:val="00501D25"/>
    <w:rsid w:val="00501DEE"/>
    <w:rsid w:val="0050296F"/>
    <w:rsid w:val="0050348B"/>
    <w:rsid w:val="005044FF"/>
    <w:rsid w:val="005047FF"/>
    <w:rsid w:val="00504FC2"/>
    <w:rsid w:val="00505E46"/>
    <w:rsid w:val="00505EC1"/>
    <w:rsid w:val="005103E7"/>
    <w:rsid w:val="00511858"/>
    <w:rsid w:val="00512789"/>
    <w:rsid w:val="005133A6"/>
    <w:rsid w:val="00513862"/>
    <w:rsid w:val="00521A76"/>
    <w:rsid w:val="00524121"/>
    <w:rsid w:val="00524D6A"/>
    <w:rsid w:val="0052689E"/>
    <w:rsid w:val="00531911"/>
    <w:rsid w:val="005322E3"/>
    <w:rsid w:val="00532F87"/>
    <w:rsid w:val="00532FD2"/>
    <w:rsid w:val="00533488"/>
    <w:rsid w:val="00534A4C"/>
    <w:rsid w:val="00535BBE"/>
    <w:rsid w:val="00536A30"/>
    <w:rsid w:val="00537008"/>
    <w:rsid w:val="00537172"/>
    <w:rsid w:val="00537275"/>
    <w:rsid w:val="005376B6"/>
    <w:rsid w:val="005404BD"/>
    <w:rsid w:val="005438C3"/>
    <w:rsid w:val="00551F81"/>
    <w:rsid w:val="00552019"/>
    <w:rsid w:val="0055237F"/>
    <w:rsid w:val="005530C0"/>
    <w:rsid w:val="00554449"/>
    <w:rsid w:val="005559FA"/>
    <w:rsid w:val="00557162"/>
    <w:rsid w:val="005613D3"/>
    <w:rsid w:val="005655DB"/>
    <w:rsid w:val="0056646D"/>
    <w:rsid w:val="005667C4"/>
    <w:rsid w:val="0057116E"/>
    <w:rsid w:val="00571562"/>
    <w:rsid w:val="00571BD4"/>
    <w:rsid w:val="005730E8"/>
    <w:rsid w:val="005747C2"/>
    <w:rsid w:val="005768AC"/>
    <w:rsid w:val="00580E84"/>
    <w:rsid w:val="005810A1"/>
    <w:rsid w:val="00581A7F"/>
    <w:rsid w:val="00581BD8"/>
    <w:rsid w:val="00582129"/>
    <w:rsid w:val="00582B61"/>
    <w:rsid w:val="0058681C"/>
    <w:rsid w:val="0058778C"/>
    <w:rsid w:val="0059014B"/>
    <w:rsid w:val="005929CC"/>
    <w:rsid w:val="005949A8"/>
    <w:rsid w:val="00596C0E"/>
    <w:rsid w:val="00597A6D"/>
    <w:rsid w:val="00597EAE"/>
    <w:rsid w:val="005A03E6"/>
    <w:rsid w:val="005A0521"/>
    <w:rsid w:val="005A2142"/>
    <w:rsid w:val="005A34DF"/>
    <w:rsid w:val="005A3A30"/>
    <w:rsid w:val="005A3D13"/>
    <w:rsid w:val="005A43F7"/>
    <w:rsid w:val="005A627C"/>
    <w:rsid w:val="005A69F6"/>
    <w:rsid w:val="005B0974"/>
    <w:rsid w:val="005B1D92"/>
    <w:rsid w:val="005C1A41"/>
    <w:rsid w:val="005C1E82"/>
    <w:rsid w:val="005C20D7"/>
    <w:rsid w:val="005C33A2"/>
    <w:rsid w:val="005C3DC9"/>
    <w:rsid w:val="005C669E"/>
    <w:rsid w:val="005C670C"/>
    <w:rsid w:val="005D0A0B"/>
    <w:rsid w:val="005D2210"/>
    <w:rsid w:val="005D2864"/>
    <w:rsid w:val="005D3FF0"/>
    <w:rsid w:val="005D4572"/>
    <w:rsid w:val="005D469E"/>
    <w:rsid w:val="005D4C7A"/>
    <w:rsid w:val="005E1E8D"/>
    <w:rsid w:val="005E33B0"/>
    <w:rsid w:val="005E3A5F"/>
    <w:rsid w:val="005E4716"/>
    <w:rsid w:val="005F35C4"/>
    <w:rsid w:val="005F4AA3"/>
    <w:rsid w:val="005F74BF"/>
    <w:rsid w:val="00601CEF"/>
    <w:rsid w:val="00604829"/>
    <w:rsid w:val="0060647B"/>
    <w:rsid w:val="00607EB8"/>
    <w:rsid w:val="006119DB"/>
    <w:rsid w:val="00613D30"/>
    <w:rsid w:val="00615A33"/>
    <w:rsid w:val="00615DB6"/>
    <w:rsid w:val="00616094"/>
    <w:rsid w:val="00616F5E"/>
    <w:rsid w:val="0061796B"/>
    <w:rsid w:val="00620114"/>
    <w:rsid w:val="00620DB3"/>
    <w:rsid w:val="00621531"/>
    <w:rsid w:val="00621613"/>
    <w:rsid w:val="00621B4E"/>
    <w:rsid w:val="00624878"/>
    <w:rsid w:val="006262C5"/>
    <w:rsid w:val="00626DD1"/>
    <w:rsid w:val="00627490"/>
    <w:rsid w:val="00636025"/>
    <w:rsid w:val="00637E76"/>
    <w:rsid w:val="00642D0E"/>
    <w:rsid w:val="00642D19"/>
    <w:rsid w:val="00642D1B"/>
    <w:rsid w:val="0064512B"/>
    <w:rsid w:val="00645435"/>
    <w:rsid w:val="00645CBF"/>
    <w:rsid w:val="00646BF8"/>
    <w:rsid w:val="00650146"/>
    <w:rsid w:val="00652BF4"/>
    <w:rsid w:val="00654468"/>
    <w:rsid w:val="006545E9"/>
    <w:rsid w:val="006549BC"/>
    <w:rsid w:val="006552EA"/>
    <w:rsid w:val="00657E4B"/>
    <w:rsid w:val="00660A01"/>
    <w:rsid w:val="006621C2"/>
    <w:rsid w:val="0066271D"/>
    <w:rsid w:val="006639E5"/>
    <w:rsid w:val="00664C4A"/>
    <w:rsid w:val="00665EE9"/>
    <w:rsid w:val="0066697A"/>
    <w:rsid w:val="00666B59"/>
    <w:rsid w:val="00666DC4"/>
    <w:rsid w:val="00670A0D"/>
    <w:rsid w:val="00671AF9"/>
    <w:rsid w:val="006720D9"/>
    <w:rsid w:val="00672892"/>
    <w:rsid w:val="00673A07"/>
    <w:rsid w:val="00674F59"/>
    <w:rsid w:val="00676108"/>
    <w:rsid w:val="00677963"/>
    <w:rsid w:val="00681C1D"/>
    <w:rsid w:val="0068455D"/>
    <w:rsid w:val="00684838"/>
    <w:rsid w:val="00686FD2"/>
    <w:rsid w:val="00687048"/>
    <w:rsid w:val="006872F1"/>
    <w:rsid w:val="00690AE9"/>
    <w:rsid w:val="00691316"/>
    <w:rsid w:val="0069178D"/>
    <w:rsid w:val="00692CB5"/>
    <w:rsid w:val="00695458"/>
    <w:rsid w:val="0069555B"/>
    <w:rsid w:val="00696442"/>
    <w:rsid w:val="006A46AC"/>
    <w:rsid w:val="006A4C6B"/>
    <w:rsid w:val="006A6BB6"/>
    <w:rsid w:val="006B1305"/>
    <w:rsid w:val="006B155A"/>
    <w:rsid w:val="006B2467"/>
    <w:rsid w:val="006B2E5C"/>
    <w:rsid w:val="006B2ED4"/>
    <w:rsid w:val="006B3A67"/>
    <w:rsid w:val="006B6BE8"/>
    <w:rsid w:val="006C0F03"/>
    <w:rsid w:val="006C1655"/>
    <w:rsid w:val="006C357B"/>
    <w:rsid w:val="006C3D59"/>
    <w:rsid w:val="006C4871"/>
    <w:rsid w:val="006C512D"/>
    <w:rsid w:val="006C5303"/>
    <w:rsid w:val="006C5A70"/>
    <w:rsid w:val="006C5E20"/>
    <w:rsid w:val="006D54C6"/>
    <w:rsid w:val="006D5E21"/>
    <w:rsid w:val="006D6D76"/>
    <w:rsid w:val="006D7921"/>
    <w:rsid w:val="006D7B8B"/>
    <w:rsid w:val="006E0366"/>
    <w:rsid w:val="006E2AF7"/>
    <w:rsid w:val="006E2D65"/>
    <w:rsid w:val="006E4378"/>
    <w:rsid w:val="006E4F6A"/>
    <w:rsid w:val="006E55F8"/>
    <w:rsid w:val="006E75D2"/>
    <w:rsid w:val="006E7FB7"/>
    <w:rsid w:val="006F03D0"/>
    <w:rsid w:val="006F11A9"/>
    <w:rsid w:val="006F6A06"/>
    <w:rsid w:val="006F6FC7"/>
    <w:rsid w:val="007008C9"/>
    <w:rsid w:val="0070342F"/>
    <w:rsid w:val="00706E93"/>
    <w:rsid w:val="00707E82"/>
    <w:rsid w:val="00710C02"/>
    <w:rsid w:val="00710E27"/>
    <w:rsid w:val="00712A87"/>
    <w:rsid w:val="0071312A"/>
    <w:rsid w:val="00713DE3"/>
    <w:rsid w:val="00714126"/>
    <w:rsid w:val="00716587"/>
    <w:rsid w:val="007176E4"/>
    <w:rsid w:val="0072050B"/>
    <w:rsid w:val="00721987"/>
    <w:rsid w:val="00723001"/>
    <w:rsid w:val="00724E6F"/>
    <w:rsid w:val="007273E9"/>
    <w:rsid w:val="007275BA"/>
    <w:rsid w:val="007302B8"/>
    <w:rsid w:val="00730547"/>
    <w:rsid w:val="00730856"/>
    <w:rsid w:val="007321C0"/>
    <w:rsid w:val="00732709"/>
    <w:rsid w:val="00732BA0"/>
    <w:rsid w:val="007356DF"/>
    <w:rsid w:val="00735B60"/>
    <w:rsid w:val="007364D1"/>
    <w:rsid w:val="0073742B"/>
    <w:rsid w:val="00740257"/>
    <w:rsid w:val="0074131D"/>
    <w:rsid w:val="00741AFA"/>
    <w:rsid w:val="0074208E"/>
    <w:rsid w:val="007434B3"/>
    <w:rsid w:val="007436CB"/>
    <w:rsid w:val="00743A17"/>
    <w:rsid w:val="00743F46"/>
    <w:rsid w:val="00746448"/>
    <w:rsid w:val="007468F9"/>
    <w:rsid w:val="00747A72"/>
    <w:rsid w:val="00753FCE"/>
    <w:rsid w:val="00754DEE"/>
    <w:rsid w:val="00755025"/>
    <w:rsid w:val="0075502C"/>
    <w:rsid w:val="007556E8"/>
    <w:rsid w:val="00756EF7"/>
    <w:rsid w:val="00763354"/>
    <w:rsid w:val="0076780B"/>
    <w:rsid w:val="007712C9"/>
    <w:rsid w:val="00771E64"/>
    <w:rsid w:val="0077319C"/>
    <w:rsid w:val="007731DA"/>
    <w:rsid w:val="007739F7"/>
    <w:rsid w:val="0077610D"/>
    <w:rsid w:val="007818AA"/>
    <w:rsid w:val="00782247"/>
    <w:rsid w:val="00783FCC"/>
    <w:rsid w:val="0078454F"/>
    <w:rsid w:val="007850E1"/>
    <w:rsid w:val="0078511F"/>
    <w:rsid w:val="007864D5"/>
    <w:rsid w:val="007868EB"/>
    <w:rsid w:val="007944C3"/>
    <w:rsid w:val="00794DA6"/>
    <w:rsid w:val="007975D5"/>
    <w:rsid w:val="00797739"/>
    <w:rsid w:val="00797B2E"/>
    <w:rsid w:val="007A2231"/>
    <w:rsid w:val="007A581B"/>
    <w:rsid w:val="007A58FC"/>
    <w:rsid w:val="007A787D"/>
    <w:rsid w:val="007A7C19"/>
    <w:rsid w:val="007B00D1"/>
    <w:rsid w:val="007B175E"/>
    <w:rsid w:val="007B42B0"/>
    <w:rsid w:val="007B63E5"/>
    <w:rsid w:val="007B6B8D"/>
    <w:rsid w:val="007B73F4"/>
    <w:rsid w:val="007C20DE"/>
    <w:rsid w:val="007C492D"/>
    <w:rsid w:val="007C6232"/>
    <w:rsid w:val="007D0FE0"/>
    <w:rsid w:val="007D200D"/>
    <w:rsid w:val="007D2A04"/>
    <w:rsid w:val="007D3E17"/>
    <w:rsid w:val="007D3F7B"/>
    <w:rsid w:val="007D525B"/>
    <w:rsid w:val="007D5321"/>
    <w:rsid w:val="007E02AE"/>
    <w:rsid w:val="007E17C7"/>
    <w:rsid w:val="007E1C8B"/>
    <w:rsid w:val="007E3488"/>
    <w:rsid w:val="007E3948"/>
    <w:rsid w:val="007E3B50"/>
    <w:rsid w:val="007E4A25"/>
    <w:rsid w:val="007E52E5"/>
    <w:rsid w:val="007E54A5"/>
    <w:rsid w:val="007E5D49"/>
    <w:rsid w:val="007F37CE"/>
    <w:rsid w:val="007F48A9"/>
    <w:rsid w:val="007F70F7"/>
    <w:rsid w:val="008019DC"/>
    <w:rsid w:val="00801E87"/>
    <w:rsid w:val="00802753"/>
    <w:rsid w:val="008027E7"/>
    <w:rsid w:val="00802AE2"/>
    <w:rsid w:val="00802DC0"/>
    <w:rsid w:val="0080476C"/>
    <w:rsid w:val="00804F96"/>
    <w:rsid w:val="00806087"/>
    <w:rsid w:val="0080719C"/>
    <w:rsid w:val="00807EF0"/>
    <w:rsid w:val="008105A3"/>
    <w:rsid w:val="00812CE3"/>
    <w:rsid w:val="00816126"/>
    <w:rsid w:val="0081613C"/>
    <w:rsid w:val="00821E89"/>
    <w:rsid w:val="0082266A"/>
    <w:rsid w:val="00822B55"/>
    <w:rsid w:val="008321CD"/>
    <w:rsid w:val="00835E8B"/>
    <w:rsid w:val="0083696A"/>
    <w:rsid w:val="0083739D"/>
    <w:rsid w:val="00837D9A"/>
    <w:rsid w:val="0084087F"/>
    <w:rsid w:val="008411FD"/>
    <w:rsid w:val="00843DCD"/>
    <w:rsid w:val="00844278"/>
    <w:rsid w:val="00844EE2"/>
    <w:rsid w:val="00847DC9"/>
    <w:rsid w:val="00847ED2"/>
    <w:rsid w:val="00850A26"/>
    <w:rsid w:val="00850FD5"/>
    <w:rsid w:val="00851743"/>
    <w:rsid w:val="00853BA8"/>
    <w:rsid w:val="0085459D"/>
    <w:rsid w:val="00855A69"/>
    <w:rsid w:val="008563A2"/>
    <w:rsid w:val="00856AF4"/>
    <w:rsid w:val="00856D38"/>
    <w:rsid w:val="0086000A"/>
    <w:rsid w:val="00860638"/>
    <w:rsid w:val="00862324"/>
    <w:rsid w:val="00864859"/>
    <w:rsid w:val="00864EE2"/>
    <w:rsid w:val="0087135E"/>
    <w:rsid w:val="0087547A"/>
    <w:rsid w:val="008759BB"/>
    <w:rsid w:val="00876DF7"/>
    <w:rsid w:val="00880F8F"/>
    <w:rsid w:val="00883907"/>
    <w:rsid w:val="00883E8C"/>
    <w:rsid w:val="00885DAD"/>
    <w:rsid w:val="00886BC4"/>
    <w:rsid w:val="00890FDC"/>
    <w:rsid w:val="00891FC8"/>
    <w:rsid w:val="00892990"/>
    <w:rsid w:val="00892C34"/>
    <w:rsid w:val="00893C16"/>
    <w:rsid w:val="00894FF3"/>
    <w:rsid w:val="008950F6"/>
    <w:rsid w:val="00896A5B"/>
    <w:rsid w:val="008A016F"/>
    <w:rsid w:val="008A0F26"/>
    <w:rsid w:val="008A0F78"/>
    <w:rsid w:val="008A299E"/>
    <w:rsid w:val="008A4259"/>
    <w:rsid w:val="008A5228"/>
    <w:rsid w:val="008A5503"/>
    <w:rsid w:val="008A59D2"/>
    <w:rsid w:val="008B12D1"/>
    <w:rsid w:val="008B15F4"/>
    <w:rsid w:val="008B162F"/>
    <w:rsid w:val="008B33FB"/>
    <w:rsid w:val="008B418F"/>
    <w:rsid w:val="008B6E3F"/>
    <w:rsid w:val="008C04EB"/>
    <w:rsid w:val="008C081D"/>
    <w:rsid w:val="008C0F27"/>
    <w:rsid w:val="008C4B95"/>
    <w:rsid w:val="008D2446"/>
    <w:rsid w:val="008D2C1A"/>
    <w:rsid w:val="008D34B4"/>
    <w:rsid w:val="008D5F0E"/>
    <w:rsid w:val="008D6BC6"/>
    <w:rsid w:val="008D724E"/>
    <w:rsid w:val="008E474B"/>
    <w:rsid w:val="008E539B"/>
    <w:rsid w:val="008E582F"/>
    <w:rsid w:val="008E5CC7"/>
    <w:rsid w:val="008E7FB1"/>
    <w:rsid w:val="008F0131"/>
    <w:rsid w:val="008F0D2C"/>
    <w:rsid w:val="008F1A71"/>
    <w:rsid w:val="008F36E7"/>
    <w:rsid w:val="008F3F9B"/>
    <w:rsid w:val="008F45D0"/>
    <w:rsid w:val="008F5084"/>
    <w:rsid w:val="008F553A"/>
    <w:rsid w:val="008F63FE"/>
    <w:rsid w:val="008F7878"/>
    <w:rsid w:val="008F79B9"/>
    <w:rsid w:val="00900E95"/>
    <w:rsid w:val="00903CE2"/>
    <w:rsid w:val="00905101"/>
    <w:rsid w:val="00912C42"/>
    <w:rsid w:val="00914EAD"/>
    <w:rsid w:val="00916293"/>
    <w:rsid w:val="00917C48"/>
    <w:rsid w:val="00917DCC"/>
    <w:rsid w:val="00917F55"/>
    <w:rsid w:val="00920037"/>
    <w:rsid w:val="009220E5"/>
    <w:rsid w:val="00922CC5"/>
    <w:rsid w:val="00922FF7"/>
    <w:rsid w:val="00923D83"/>
    <w:rsid w:val="00924F3E"/>
    <w:rsid w:val="00925B9C"/>
    <w:rsid w:val="00925E37"/>
    <w:rsid w:val="009269C9"/>
    <w:rsid w:val="009270A8"/>
    <w:rsid w:val="009311C5"/>
    <w:rsid w:val="0093273A"/>
    <w:rsid w:val="00936687"/>
    <w:rsid w:val="00942D7F"/>
    <w:rsid w:val="009502F1"/>
    <w:rsid w:val="00950808"/>
    <w:rsid w:val="00950BC1"/>
    <w:rsid w:val="00951D8F"/>
    <w:rsid w:val="00953740"/>
    <w:rsid w:val="00955CC1"/>
    <w:rsid w:val="00955F0D"/>
    <w:rsid w:val="00957345"/>
    <w:rsid w:val="00960A7B"/>
    <w:rsid w:val="00960DA9"/>
    <w:rsid w:val="00962F87"/>
    <w:rsid w:val="0096353E"/>
    <w:rsid w:val="009655B2"/>
    <w:rsid w:val="0096588B"/>
    <w:rsid w:val="0097058A"/>
    <w:rsid w:val="00970E3B"/>
    <w:rsid w:val="0097351C"/>
    <w:rsid w:val="00974703"/>
    <w:rsid w:val="00974B15"/>
    <w:rsid w:val="00974F12"/>
    <w:rsid w:val="009753AB"/>
    <w:rsid w:val="009768A9"/>
    <w:rsid w:val="00980CF5"/>
    <w:rsid w:val="0098114D"/>
    <w:rsid w:val="00981253"/>
    <w:rsid w:val="00984D1E"/>
    <w:rsid w:val="00990CEB"/>
    <w:rsid w:val="00991885"/>
    <w:rsid w:val="00991CE9"/>
    <w:rsid w:val="009932BF"/>
    <w:rsid w:val="00994280"/>
    <w:rsid w:val="00994BBB"/>
    <w:rsid w:val="00994E5F"/>
    <w:rsid w:val="009A15F1"/>
    <w:rsid w:val="009A21B5"/>
    <w:rsid w:val="009A2E69"/>
    <w:rsid w:val="009A43B9"/>
    <w:rsid w:val="009A43FD"/>
    <w:rsid w:val="009A5F67"/>
    <w:rsid w:val="009A6509"/>
    <w:rsid w:val="009A7205"/>
    <w:rsid w:val="009A793E"/>
    <w:rsid w:val="009A7DF2"/>
    <w:rsid w:val="009B1E84"/>
    <w:rsid w:val="009B1EC8"/>
    <w:rsid w:val="009B308F"/>
    <w:rsid w:val="009B50FD"/>
    <w:rsid w:val="009B5BE2"/>
    <w:rsid w:val="009B5C5A"/>
    <w:rsid w:val="009B6495"/>
    <w:rsid w:val="009B7BE9"/>
    <w:rsid w:val="009C07B1"/>
    <w:rsid w:val="009C2BC8"/>
    <w:rsid w:val="009C2E72"/>
    <w:rsid w:val="009C33D0"/>
    <w:rsid w:val="009C4AA1"/>
    <w:rsid w:val="009C4DB6"/>
    <w:rsid w:val="009C7224"/>
    <w:rsid w:val="009C730A"/>
    <w:rsid w:val="009D05E3"/>
    <w:rsid w:val="009D24B7"/>
    <w:rsid w:val="009D2859"/>
    <w:rsid w:val="009D43D4"/>
    <w:rsid w:val="009E0E4B"/>
    <w:rsid w:val="009E12B5"/>
    <w:rsid w:val="009E35A0"/>
    <w:rsid w:val="009E3637"/>
    <w:rsid w:val="009E4293"/>
    <w:rsid w:val="009E450F"/>
    <w:rsid w:val="009E68E5"/>
    <w:rsid w:val="009F0404"/>
    <w:rsid w:val="009F04B4"/>
    <w:rsid w:val="009F26B4"/>
    <w:rsid w:val="009F28DA"/>
    <w:rsid w:val="009F2A8C"/>
    <w:rsid w:val="009F6370"/>
    <w:rsid w:val="00A00944"/>
    <w:rsid w:val="00A00ECA"/>
    <w:rsid w:val="00A01476"/>
    <w:rsid w:val="00A031C9"/>
    <w:rsid w:val="00A0399E"/>
    <w:rsid w:val="00A056A3"/>
    <w:rsid w:val="00A06D55"/>
    <w:rsid w:val="00A06EE7"/>
    <w:rsid w:val="00A1131E"/>
    <w:rsid w:val="00A125BE"/>
    <w:rsid w:val="00A13695"/>
    <w:rsid w:val="00A14F86"/>
    <w:rsid w:val="00A16AB1"/>
    <w:rsid w:val="00A170F1"/>
    <w:rsid w:val="00A23DF3"/>
    <w:rsid w:val="00A2474B"/>
    <w:rsid w:val="00A271F6"/>
    <w:rsid w:val="00A273A2"/>
    <w:rsid w:val="00A30975"/>
    <w:rsid w:val="00A342AC"/>
    <w:rsid w:val="00A34889"/>
    <w:rsid w:val="00A35FD7"/>
    <w:rsid w:val="00A37BBF"/>
    <w:rsid w:val="00A37C44"/>
    <w:rsid w:val="00A40C2A"/>
    <w:rsid w:val="00A428A8"/>
    <w:rsid w:val="00A44237"/>
    <w:rsid w:val="00A44812"/>
    <w:rsid w:val="00A50F8F"/>
    <w:rsid w:val="00A519D4"/>
    <w:rsid w:val="00A52ECD"/>
    <w:rsid w:val="00A5425B"/>
    <w:rsid w:val="00A553C9"/>
    <w:rsid w:val="00A57E1C"/>
    <w:rsid w:val="00A63DAA"/>
    <w:rsid w:val="00A657F8"/>
    <w:rsid w:val="00A672DA"/>
    <w:rsid w:val="00A701B7"/>
    <w:rsid w:val="00A72437"/>
    <w:rsid w:val="00A72975"/>
    <w:rsid w:val="00A73C04"/>
    <w:rsid w:val="00A748F1"/>
    <w:rsid w:val="00A7583E"/>
    <w:rsid w:val="00A77611"/>
    <w:rsid w:val="00A7791A"/>
    <w:rsid w:val="00A811A5"/>
    <w:rsid w:val="00A814B0"/>
    <w:rsid w:val="00A85673"/>
    <w:rsid w:val="00A90C71"/>
    <w:rsid w:val="00A93393"/>
    <w:rsid w:val="00A93486"/>
    <w:rsid w:val="00A93C74"/>
    <w:rsid w:val="00A97C59"/>
    <w:rsid w:val="00AA0236"/>
    <w:rsid w:val="00AA2B07"/>
    <w:rsid w:val="00AA3B2B"/>
    <w:rsid w:val="00AA4128"/>
    <w:rsid w:val="00AA5DF2"/>
    <w:rsid w:val="00AB28A4"/>
    <w:rsid w:val="00AB2ECD"/>
    <w:rsid w:val="00AB351B"/>
    <w:rsid w:val="00AB3E2D"/>
    <w:rsid w:val="00AB5CFE"/>
    <w:rsid w:val="00AB7DF8"/>
    <w:rsid w:val="00AC09D4"/>
    <w:rsid w:val="00AC1ACB"/>
    <w:rsid w:val="00AC2546"/>
    <w:rsid w:val="00AC2624"/>
    <w:rsid w:val="00AC2EC5"/>
    <w:rsid w:val="00AC3830"/>
    <w:rsid w:val="00AC55D3"/>
    <w:rsid w:val="00AC733F"/>
    <w:rsid w:val="00AC77D1"/>
    <w:rsid w:val="00AD0968"/>
    <w:rsid w:val="00AD6B7B"/>
    <w:rsid w:val="00AD734D"/>
    <w:rsid w:val="00AE108A"/>
    <w:rsid w:val="00AE190B"/>
    <w:rsid w:val="00AE3B74"/>
    <w:rsid w:val="00AE42D0"/>
    <w:rsid w:val="00AE4875"/>
    <w:rsid w:val="00AE490A"/>
    <w:rsid w:val="00AE67AA"/>
    <w:rsid w:val="00AE710D"/>
    <w:rsid w:val="00AF17DC"/>
    <w:rsid w:val="00AF2C47"/>
    <w:rsid w:val="00AF3A33"/>
    <w:rsid w:val="00AF5E9E"/>
    <w:rsid w:val="00AF63D4"/>
    <w:rsid w:val="00B00248"/>
    <w:rsid w:val="00B03192"/>
    <w:rsid w:val="00B040A1"/>
    <w:rsid w:val="00B05FB5"/>
    <w:rsid w:val="00B063F5"/>
    <w:rsid w:val="00B066BE"/>
    <w:rsid w:val="00B06AB5"/>
    <w:rsid w:val="00B100D4"/>
    <w:rsid w:val="00B106DC"/>
    <w:rsid w:val="00B117A2"/>
    <w:rsid w:val="00B12AA6"/>
    <w:rsid w:val="00B13D00"/>
    <w:rsid w:val="00B171F0"/>
    <w:rsid w:val="00B17D14"/>
    <w:rsid w:val="00B21B03"/>
    <w:rsid w:val="00B22729"/>
    <w:rsid w:val="00B22F5A"/>
    <w:rsid w:val="00B23174"/>
    <w:rsid w:val="00B24E7B"/>
    <w:rsid w:val="00B252C5"/>
    <w:rsid w:val="00B26366"/>
    <w:rsid w:val="00B273C7"/>
    <w:rsid w:val="00B27BD6"/>
    <w:rsid w:val="00B312D9"/>
    <w:rsid w:val="00B31502"/>
    <w:rsid w:val="00B32394"/>
    <w:rsid w:val="00B33D8C"/>
    <w:rsid w:val="00B3509A"/>
    <w:rsid w:val="00B36998"/>
    <w:rsid w:val="00B4198C"/>
    <w:rsid w:val="00B43310"/>
    <w:rsid w:val="00B43A5F"/>
    <w:rsid w:val="00B44E57"/>
    <w:rsid w:val="00B457EA"/>
    <w:rsid w:val="00B508E0"/>
    <w:rsid w:val="00B50A1D"/>
    <w:rsid w:val="00B516A6"/>
    <w:rsid w:val="00B516EC"/>
    <w:rsid w:val="00B538CD"/>
    <w:rsid w:val="00B53C97"/>
    <w:rsid w:val="00B54C6F"/>
    <w:rsid w:val="00B55279"/>
    <w:rsid w:val="00B553C3"/>
    <w:rsid w:val="00B6063A"/>
    <w:rsid w:val="00B60706"/>
    <w:rsid w:val="00B60DA4"/>
    <w:rsid w:val="00B64D1F"/>
    <w:rsid w:val="00B652FD"/>
    <w:rsid w:val="00B66E4E"/>
    <w:rsid w:val="00B67098"/>
    <w:rsid w:val="00B675A4"/>
    <w:rsid w:val="00B6766A"/>
    <w:rsid w:val="00B708C4"/>
    <w:rsid w:val="00B70AEF"/>
    <w:rsid w:val="00B71CD8"/>
    <w:rsid w:val="00B73469"/>
    <w:rsid w:val="00B73C45"/>
    <w:rsid w:val="00B73FBC"/>
    <w:rsid w:val="00B756D3"/>
    <w:rsid w:val="00B76030"/>
    <w:rsid w:val="00B80231"/>
    <w:rsid w:val="00B80AC2"/>
    <w:rsid w:val="00B8183D"/>
    <w:rsid w:val="00B829AE"/>
    <w:rsid w:val="00B84616"/>
    <w:rsid w:val="00B84C04"/>
    <w:rsid w:val="00B84FD2"/>
    <w:rsid w:val="00B86E1A"/>
    <w:rsid w:val="00B8704D"/>
    <w:rsid w:val="00B9264A"/>
    <w:rsid w:val="00B93008"/>
    <w:rsid w:val="00B93636"/>
    <w:rsid w:val="00B9445D"/>
    <w:rsid w:val="00B9516F"/>
    <w:rsid w:val="00B9673A"/>
    <w:rsid w:val="00BA2094"/>
    <w:rsid w:val="00BA7A70"/>
    <w:rsid w:val="00BA7FE1"/>
    <w:rsid w:val="00BB1865"/>
    <w:rsid w:val="00BB3950"/>
    <w:rsid w:val="00BB3D18"/>
    <w:rsid w:val="00BB7A71"/>
    <w:rsid w:val="00BC0027"/>
    <w:rsid w:val="00BC066D"/>
    <w:rsid w:val="00BC120D"/>
    <w:rsid w:val="00BC1B8C"/>
    <w:rsid w:val="00BC28BB"/>
    <w:rsid w:val="00BC306A"/>
    <w:rsid w:val="00BC7139"/>
    <w:rsid w:val="00BC721C"/>
    <w:rsid w:val="00BD1649"/>
    <w:rsid w:val="00BD24B6"/>
    <w:rsid w:val="00BD3514"/>
    <w:rsid w:val="00BD4651"/>
    <w:rsid w:val="00BD54B8"/>
    <w:rsid w:val="00BE2946"/>
    <w:rsid w:val="00BE2F24"/>
    <w:rsid w:val="00BE4600"/>
    <w:rsid w:val="00BE7BDD"/>
    <w:rsid w:val="00BF0F73"/>
    <w:rsid w:val="00BF2DF1"/>
    <w:rsid w:val="00BF321A"/>
    <w:rsid w:val="00BF69C8"/>
    <w:rsid w:val="00BF7C8E"/>
    <w:rsid w:val="00C01C1F"/>
    <w:rsid w:val="00C0221B"/>
    <w:rsid w:val="00C02A9F"/>
    <w:rsid w:val="00C035A2"/>
    <w:rsid w:val="00C042C5"/>
    <w:rsid w:val="00C06E1B"/>
    <w:rsid w:val="00C10FF0"/>
    <w:rsid w:val="00C114B6"/>
    <w:rsid w:val="00C11D82"/>
    <w:rsid w:val="00C11FBB"/>
    <w:rsid w:val="00C1444C"/>
    <w:rsid w:val="00C164A2"/>
    <w:rsid w:val="00C16B60"/>
    <w:rsid w:val="00C16FE9"/>
    <w:rsid w:val="00C20984"/>
    <w:rsid w:val="00C2185B"/>
    <w:rsid w:val="00C21C8D"/>
    <w:rsid w:val="00C23317"/>
    <w:rsid w:val="00C245C2"/>
    <w:rsid w:val="00C245F0"/>
    <w:rsid w:val="00C26621"/>
    <w:rsid w:val="00C276EC"/>
    <w:rsid w:val="00C27976"/>
    <w:rsid w:val="00C303E9"/>
    <w:rsid w:val="00C30A6A"/>
    <w:rsid w:val="00C31CE7"/>
    <w:rsid w:val="00C338C9"/>
    <w:rsid w:val="00C3499D"/>
    <w:rsid w:val="00C3636E"/>
    <w:rsid w:val="00C36697"/>
    <w:rsid w:val="00C37C8B"/>
    <w:rsid w:val="00C40ACE"/>
    <w:rsid w:val="00C40F0D"/>
    <w:rsid w:val="00C417BE"/>
    <w:rsid w:val="00C4242F"/>
    <w:rsid w:val="00C4335E"/>
    <w:rsid w:val="00C445A4"/>
    <w:rsid w:val="00C44859"/>
    <w:rsid w:val="00C47DD3"/>
    <w:rsid w:val="00C542DB"/>
    <w:rsid w:val="00C60765"/>
    <w:rsid w:val="00C615D8"/>
    <w:rsid w:val="00C61B99"/>
    <w:rsid w:val="00C620CB"/>
    <w:rsid w:val="00C6336D"/>
    <w:rsid w:val="00C64E45"/>
    <w:rsid w:val="00C70087"/>
    <w:rsid w:val="00C75A72"/>
    <w:rsid w:val="00C8037A"/>
    <w:rsid w:val="00C8088D"/>
    <w:rsid w:val="00C822AE"/>
    <w:rsid w:val="00C82707"/>
    <w:rsid w:val="00C83143"/>
    <w:rsid w:val="00C84AE4"/>
    <w:rsid w:val="00C878C2"/>
    <w:rsid w:val="00C87972"/>
    <w:rsid w:val="00C9086E"/>
    <w:rsid w:val="00C92032"/>
    <w:rsid w:val="00C9298E"/>
    <w:rsid w:val="00C9305C"/>
    <w:rsid w:val="00C945E9"/>
    <w:rsid w:val="00C95323"/>
    <w:rsid w:val="00C9572E"/>
    <w:rsid w:val="00C95C14"/>
    <w:rsid w:val="00C9609B"/>
    <w:rsid w:val="00C96A39"/>
    <w:rsid w:val="00C96C0D"/>
    <w:rsid w:val="00CA28F7"/>
    <w:rsid w:val="00CA305F"/>
    <w:rsid w:val="00CA58C4"/>
    <w:rsid w:val="00CB1025"/>
    <w:rsid w:val="00CB163C"/>
    <w:rsid w:val="00CB1FD6"/>
    <w:rsid w:val="00CB270B"/>
    <w:rsid w:val="00CB7BA3"/>
    <w:rsid w:val="00CC14D4"/>
    <w:rsid w:val="00CC20A7"/>
    <w:rsid w:val="00CC3A9C"/>
    <w:rsid w:val="00CC3E44"/>
    <w:rsid w:val="00CC577D"/>
    <w:rsid w:val="00CC6032"/>
    <w:rsid w:val="00CC6462"/>
    <w:rsid w:val="00CC7ECC"/>
    <w:rsid w:val="00CD0CAA"/>
    <w:rsid w:val="00CD18E4"/>
    <w:rsid w:val="00CD1B6D"/>
    <w:rsid w:val="00CD3276"/>
    <w:rsid w:val="00CD54AC"/>
    <w:rsid w:val="00CD6BF3"/>
    <w:rsid w:val="00CD7124"/>
    <w:rsid w:val="00CD7C0B"/>
    <w:rsid w:val="00CE0279"/>
    <w:rsid w:val="00CE27B3"/>
    <w:rsid w:val="00CE284A"/>
    <w:rsid w:val="00CE2D10"/>
    <w:rsid w:val="00CE3E90"/>
    <w:rsid w:val="00CE7749"/>
    <w:rsid w:val="00CF057E"/>
    <w:rsid w:val="00CF4A98"/>
    <w:rsid w:val="00CF510F"/>
    <w:rsid w:val="00CF6AE3"/>
    <w:rsid w:val="00CF731C"/>
    <w:rsid w:val="00D00F94"/>
    <w:rsid w:val="00D010C0"/>
    <w:rsid w:val="00D02CF2"/>
    <w:rsid w:val="00D03E8E"/>
    <w:rsid w:val="00D04617"/>
    <w:rsid w:val="00D06384"/>
    <w:rsid w:val="00D12BD7"/>
    <w:rsid w:val="00D1570A"/>
    <w:rsid w:val="00D15A39"/>
    <w:rsid w:val="00D15AE0"/>
    <w:rsid w:val="00D163F8"/>
    <w:rsid w:val="00D20092"/>
    <w:rsid w:val="00D23098"/>
    <w:rsid w:val="00D23ABC"/>
    <w:rsid w:val="00D24334"/>
    <w:rsid w:val="00D24956"/>
    <w:rsid w:val="00D25E19"/>
    <w:rsid w:val="00D263E4"/>
    <w:rsid w:val="00D2642E"/>
    <w:rsid w:val="00D27E9F"/>
    <w:rsid w:val="00D30C1B"/>
    <w:rsid w:val="00D31209"/>
    <w:rsid w:val="00D32041"/>
    <w:rsid w:val="00D32399"/>
    <w:rsid w:val="00D330B9"/>
    <w:rsid w:val="00D344F2"/>
    <w:rsid w:val="00D349E4"/>
    <w:rsid w:val="00D3579A"/>
    <w:rsid w:val="00D36A6A"/>
    <w:rsid w:val="00D36FBD"/>
    <w:rsid w:val="00D3774B"/>
    <w:rsid w:val="00D37814"/>
    <w:rsid w:val="00D4202D"/>
    <w:rsid w:val="00D43965"/>
    <w:rsid w:val="00D45CDD"/>
    <w:rsid w:val="00D474BA"/>
    <w:rsid w:val="00D51B63"/>
    <w:rsid w:val="00D5313B"/>
    <w:rsid w:val="00D545EA"/>
    <w:rsid w:val="00D62BB2"/>
    <w:rsid w:val="00D63129"/>
    <w:rsid w:val="00D647DE"/>
    <w:rsid w:val="00D65F7F"/>
    <w:rsid w:val="00D7001B"/>
    <w:rsid w:val="00D70264"/>
    <w:rsid w:val="00D702FB"/>
    <w:rsid w:val="00D736ED"/>
    <w:rsid w:val="00D73D3F"/>
    <w:rsid w:val="00D76B44"/>
    <w:rsid w:val="00D81D00"/>
    <w:rsid w:val="00D82183"/>
    <w:rsid w:val="00D84C34"/>
    <w:rsid w:val="00D84F16"/>
    <w:rsid w:val="00D8571D"/>
    <w:rsid w:val="00D8585C"/>
    <w:rsid w:val="00D85EBF"/>
    <w:rsid w:val="00D85FA9"/>
    <w:rsid w:val="00D8638F"/>
    <w:rsid w:val="00D865D1"/>
    <w:rsid w:val="00D97D29"/>
    <w:rsid w:val="00DA0C61"/>
    <w:rsid w:val="00DA1694"/>
    <w:rsid w:val="00DA2198"/>
    <w:rsid w:val="00DA2924"/>
    <w:rsid w:val="00DA4CAF"/>
    <w:rsid w:val="00DA6874"/>
    <w:rsid w:val="00DA68D8"/>
    <w:rsid w:val="00DB0650"/>
    <w:rsid w:val="00DB06B7"/>
    <w:rsid w:val="00DB1E26"/>
    <w:rsid w:val="00DB4A30"/>
    <w:rsid w:val="00DB656D"/>
    <w:rsid w:val="00DB69F2"/>
    <w:rsid w:val="00DB7A9E"/>
    <w:rsid w:val="00DB7DDA"/>
    <w:rsid w:val="00DC0304"/>
    <w:rsid w:val="00DC05C4"/>
    <w:rsid w:val="00DC41BC"/>
    <w:rsid w:val="00DC4AEB"/>
    <w:rsid w:val="00DC643E"/>
    <w:rsid w:val="00DD27DC"/>
    <w:rsid w:val="00DD4917"/>
    <w:rsid w:val="00DD5578"/>
    <w:rsid w:val="00DE1AC5"/>
    <w:rsid w:val="00DE360D"/>
    <w:rsid w:val="00DE59D8"/>
    <w:rsid w:val="00DF0BB9"/>
    <w:rsid w:val="00DF2854"/>
    <w:rsid w:val="00DF2F14"/>
    <w:rsid w:val="00DF3E4C"/>
    <w:rsid w:val="00DF5155"/>
    <w:rsid w:val="00DF57CC"/>
    <w:rsid w:val="00DF59BB"/>
    <w:rsid w:val="00E01E4D"/>
    <w:rsid w:val="00E04F17"/>
    <w:rsid w:val="00E05465"/>
    <w:rsid w:val="00E06709"/>
    <w:rsid w:val="00E07942"/>
    <w:rsid w:val="00E104A9"/>
    <w:rsid w:val="00E10782"/>
    <w:rsid w:val="00E10C1D"/>
    <w:rsid w:val="00E12EE7"/>
    <w:rsid w:val="00E134BE"/>
    <w:rsid w:val="00E16962"/>
    <w:rsid w:val="00E17E42"/>
    <w:rsid w:val="00E200BE"/>
    <w:rsid w:val="00E21F3D"/>
    <w:rsid w:val="00E24385"/>
    <w:rsid w:val="00E2509B"/>
    <w:rsid w:val="00E26139"/>
    <w:rsid w:val="00E26398"/>
    <w:rsid w:val="00E26FD2"/>
    <w:rsid w:val="00E273AC"/>
    <w:rsid w:val="00E3367F"/>
    <w:rsid w:val="00E34C88"/>
    <w:rsid w:val="00E34EBE"/>
    <w:rsid w:val="00E35A20"/>
    <w:rsid w:val="00E37300"/>
    <w:rsid w:val="00E4398D"/>
    <w:rsid w:val="00E469D9"/>
    <w:rsid w:val="00E47A9E"/>
    <w:rsid w:val="00E521DA"/>
    <w:rsid w:val="00E53FDE"/>
    <w:rsid w:val="00E54198"/>
    <w:rsid w:val="00E54262"/>
    <w:rsid w:val="00E5507B"/>
    <w:rsid w:val="00E605F4"/>
    <w:rsid w:val="00E6677F"/>
    <w:rsid w:val="00E7083D"/>
    <w:rsid w:val="00E719C3"/>
    <w:rsid w:val="00E75E98"/>
    <w:rsid w:val="00E7621F"/>
    <w:rsid w:val="00E768C5"/>
    <w:rsid w:val="00E772C9"/>
    <w:rsid w:val="00E803DD"/>
    <w:rsid w:val="00E812DE"/>
    <w:rsid w:val="00E838CF"/>
    <w:rsid w:val="00E83BA8"/>
    <w:rsid w:val="00E876F3"/>
    <w:rsid w:val="00E90427"/>
    <w:rsid w:val="00E928FA"/>
    <w:rsid w:val="00E934E2"/>
    <w:rsid w:val="00E93FCF"/>
    <w:rsid w:val="00E9575A"/>
    <w:rsid w:val="00E95F18"/>
    <w:rsid w:val="00E9776F"/>
    <w:rsid w:val="00EA02F3"/>
    <w:rsid w:val="00EA1096"/>
    <w:rsid w:val="00EA10F0"/>
    <w:rsid w:val="00EA18FF"/>
    <w:rsid w:val="00EA3800"/>
    <w:rsid w:val="00EA5EB3"/>
    <w:rsid w:val="00EA65C8"/>
    <w:rsid w:val="00EA6A4B"/>
    <w:rsid w:val="00EA78FA"/>
    <w:rsid w:val="00EB013A"/>
    <w:rsid w:val="00EB2978"/>
    <w:rsid w:val="00EB6FE8"/>
    <w:rsid w:val="00EC0A13"/>
    <w:rsid w:val="00EC1808"/>
    <w:rsid w:val="00EC3D5C"/>
    <w:rsid w:val="00EC4342"/>
    <w:rsid w:val="00EC52B2"/>
    <w:rsid w:val="00EC73EF"/>
    <w:rsid w:val="00ED076F"/>
    <w:rsid w:val="00ED08C7"/>
    <w:rsid w:val="00ED0BE8"/>
    <w:rsid w:val="00ED3D7B"/>
    <w:rsid w:val="00ED46AC"/>
    <w:rsid w:val="00ED591E"/>
    <w:rsid w:val="00ED77D0"/>
    <w:rsid w:val="00EE3A79"/>
    <w:rsid w:val="00EE465E"/>
    <w:rsid w:val="00EE6E10"/>
    <w:rsid w:val="00EE7711"/>
    <w:rsid w:val="00EE7CFD"/>
    <w:rsid w:val="00EF0B8F"/>
    <w:rsid w:val="00EF2A15"/>
    <w:rsid w:val="00EF4639"/>
    <w:rsid w:val="00EF5FE3"/>
    <w:rsid w:val="00EF6D4A"/>
    <w:rsid w:val="00EF6E7D"/>
    <w:rsid w:val="00F00007"/>
    <w:rsid w:val="00F008A4"/>
    <w:rsid w:val="00F0110E"/>
    <w:rsid w:val="00F05529"/>
    <w:rsid w:val="00F0609D"/>
    <w:rsid w:val="00F061B2"/>
    <w:rsid w:val="00F066F6"/>
    <w:rsid w:val="00F10A44"/>
    <w:rsid w:val="00F12416"/>
    <w:rsid w:val="00F14035"/>
    <w:rsid w:val="00F14386"/>
    <w:rsid w:val="00F1440A"/>
    <w:rsid w:val="00F1448B"/>
    <w:rsid w:val="00F14F4F"/>
    <w:rsid w:val="00F20F8D"/>
    <w:rsid w:val="00F23D37"/>
    <w:rsid w:val="00F251BA"/>
    <w:rsid w:val="00F2548C"/>
    <w:rsid w:val="00F26CA9"/>
    <w:rsid w:val="00F27499"/>
    <w:rsid w:val="00F27A69"/>
    <w:rsid w:val="00F3221E"/>
    <w:rsid w:val="00F33C6D"/>
    <w:rsid w:val="00F3443D"/>
    <w:rsid w:val="00F351B6"/>
    <w:rsid w:val="00F360F6"/>
    <w:rsid w:val="00F3639B"/>
    <w:rsid w:val="00F36845"/>
    <w:rsid w:val="00F36C8F"/>
    <w:rsid w:val="00F40AE6"/>
    <w:rsid w:val="00F40D1D"/>
    <w:rsid w:val="00F415E9"/>
    <w:rsid w:val="00F420EB"/>
    <w:rsid w:val="00F5128F"/>
    <w:rsid w:val="00F52167"/>
    <w:rsid w:val="00F5237D"/>
    <w:rsid w:val="00F52408"/>
    <w:rsid w:val="00F52771"/>
    <w:rsid w:val="00F53162"/>
    <w:rsid w:val="00F55091"/>
    <w:rsid w:val="00F559D5"/>
    <w:rsid w:val="00F56AAE"/>
    <w:rsid w:val="00F56AE1"/>
    <w:rsid w:val="00F60494"/>
    <w:rsid w:val="00F60F1D"/>
    <w:rsid w:val="00F63F81"/>
    <w:rsid w:val="00F6488F"/>
    <w:rsid w:val="00F64DFA"/>
    <w:rsid w:val="00F71919"/>
    <w:rsid w:val="00F7337B"/>
    <w:rsid w:val="00F766A8"/>
    <w:rsid w:val="00F82833"/>
    <w:rsid w:val="00F82D60"/>
    <w:rsid w:val="00F8301E"/>
    <w:rsid w:val="00F848F4"/>
    <w:rsid w:val="00F84ED9"/>
    <w:rsid w:val="00F8620E"/>
    <w:rsid w:val="00F86982"/>
    <w:rsid w:val="00F86D75"/>
    <w:rsid w:val="00F9056F"/>
    <w:rsid w:val="00F918DC"/>
    <w:rsid w:val="00F934A0"/>
    <w:rsid w:val="00F93B49"/>
    <w:rsid w:val="00FA0DE9"/>
    <w:rsid w:val="00FA349C"/>
    <w:rsid w:val="00FA39F9"/>
    <w:rsid w:val="00FA3EE1"/>
    <w:rsid w:val="00FA658D"/>
    <w:rsid w:val="00FB0962"/>
    <w:rsid w:val="00FB3321"/>
    <w:rsid w:val="00FB38EE"/>
    <w:rsid w:val="00FB4A70"/>
    <w:rsid w:val="00FB51FF"/>
    <w:rsid w:val="00FB5DBF"/>
    <w:rsid w:val="00FB695C"/>
    <w:rsid w:val="00FC2522"/>
    <w:rsid w:val="00FC351E"/>
    <w:rsid w:val="00FC3B1F"/>
    <w:rsid w:val="00FC5344"/>
    <w:rsid w:val="00FC573B"/>
    <w:rsid w:val="00FC5D36"/>
    <w:rsid w:val="00FC6035"/>
    <w:rsid w:val="00FC6B2F"/>
    <w:rsid w:val="00FD0E74"/>
    <w:rsid w:val="00FD2668"/>
    <w:rsid w:val="00FD3E3A"/>
    <w:rsid w:val="00FD491A"/>
    <w:rsid w:val="00FD49E1"/>
    <w:rsid w:val="00FD5DE4"/>
    <w:rsid w:val="00FD6A78"/>
    <w:rsid w:val="00FD7568"/>
    <w:rsid w:val="00FE0273"/>
    <w:rsid w:val="00FE3312"/>
    <w:rsid w:val="00FE3AF2"/>
    <w:rsid w:val="00FE3FED"/>
    <w:rsid w:val="00FF133F"/>
    <w:rsid w:val="00FF1BC4"/>
    <w:rsid w:val="00FF5881"/>
    <w:rsid w:val="00FF593F"/>
    <w:rsid w:val="00FF5C49"/>
    <w:rsid w:val="00FF64DE"/>
    <w:rsid w:val="00FF79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8FB651"/>
  <w15:chartTrackingRefBased/>
  <w15:docId w15:val="{D917712F-064D-46FE-96BF-1C6458D3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99E"/>
    <w:pPr>
      <w:spacing w:after="240"/>
    </w:pPr>
    <w:rPr>
      <w:rFonts w:asciiTheme="minorHAnsi" w:hAnsiTheme="minorHAnsi"/>
      <w:sz w:val="26"/>
    </w:rPr>
  </w:style>
  <w:style w:type="paragraph" w:styleId="Heading1">
    <w:name w:val="heading 1"/>
    <w:basedOn w:val="Normal"/>
    <w:next w:val="Normal"/>
    <w:link w:val="Heading1Char"/>
    <w:uiPriority w:val="9"/>
    <w:qFormat/>
    <w:rsid w:val="004D25C1"/>
    <w:pPr>
      <w:widowControl w:val="0"/>
      <w:spacing w:before="800" w:after="300" w:line="264" w:lineRule="auto"/>
      <w:outlineLvl w:val="0"/>
    </w:pPr>
    <w:rPr>
      <w:rFonts w:cstheme="minorBidi"/>
      <w:b/>
      <w:noProof/>
      <w:sz w:val="52"/>
      <w:szCs w:val="72"/>
      <w:lang w:val="en-US" w:eastAsia="en-CA"/>
    </w:rPr>
  </w:style>
  <w:style w:type="paragraph" w:styleId="Heading2">
    <w:name w:val="heading 2"/>
    <w:next w:val="Normal"/>
    <w:link w:val="Heading2Char"/>
    <w:uiPriority w:val="9"/>
    <w:unhideWhenUsed/>
    <w:qFormat/>
    <w:rsid w:val="00CD54AC"/>
    <w:pPr>
      <w:outlineLvl w:val="1"/>
    </w:pPr>
    <w:rPr>
      <w:rFonts w:ascii="Calibri" w:eastAsiaTheme="majorEastAsia" w:hAnsi="Calibri" w:cstheme="majorBidi"/>
      <w:b/>
      <w:noProof/>
      <w:sz w:val="46"/>
      <w:szCs w:val="26"/>
      <w:lang w:val="en-US" w:eastAsia="en-CA"/>
    </w:rPr>
  </w:style>
  <w:style w:type="paragraph" w:styleId="Heading3">
    <w:name w:val="heading 3"/>
    <w:basedOn w:val="Normal"/>
    <w:next w:val="Normal"/>
    <w:link w:val="Heading3Char"/>
    <w:uiPriority w:val="9"/>
    <w:unhideWhenUsed/>
    <w:qFormat/>
    <w:rsid w:val="00CD54AC"/>
    <w:pPr>
      <w:spacing w:before="240" w:after="220" w:line="240" w:lineRule="auto"/>
      <w:outlineLvl w:val="2"/>
    </w:pPr>
    <w:rPr>
      <w:rFonts w:ascii="Calibri" w:hAnsi="Calibri" w:cstheme="minorBidi"/>
      <w:b/>
      <w:sz w:val="38"/>
      <w:szCs w:val="48"/>
      <w:lang w:val="en-US" w:eastAsia="en-CA"/>
    </w:rPr>
  </w:style>
  <w:style w:type="paragraph" w:styleId="Heading4">
    <w:name w:val="heading 4"/>
    <w:basedOn w:val="Normal"/>
    <w:next w:val="Normal"/>
    <w:link w:val="Heading4Char"/>
    <w:uiPriority w:val="9"/>
    <w:unhideWhenUsed/>
    <w:qFormat/>
    <w:rsid w:val="006C5303"/>
    <w:pPr>
      <w:spacing w:line="252" w:lineRule="auto"/>
      <w:outlineLvl w:val="3"/>
    </w:pPr>
    <w:rPr>
      <w:rFonts w:ascii="Calibri" w:eastAsiaTheme="majorEastAsia" w:hAnsi="Calibri" w:cstheme="majorBidi"/>
      <w:b/>
      <w:iCs/>
      <w:sz w:val="30"/>
    </w:rPr>
  </w:style>
  <w:style w:type="paragraph" w:styleId="Heading5">
    <w:name w:val="heading 5"/>
    <w:basedOn w:val="Normal"/>
    <w:next w:val="Normal"/>
    <w:link w:val="Heading5Char"/>
    <w:uiPriority w:val="9"/>
    <w:unhideWhenUsed/>
    <w:qFormat/>
    <w:rsid w:val="00CD54AC"/>
    <w:pPr>
      <w:spacing w:line="264" w:lineRule="auto"/>
      <w:outlineLvl w:val="4"/>
    </w:pPr>
    <w:rPr>
      <w:rFonts w:ascii="Calibri" w:eastAsiaTheme="majorEastAsia" w:hAnsi="Calibri" w:cstheme="majorBidi"/>
      <w:b/>
    </w:rPr>
  </w:style>
  <w:style w:type="paragraph" w:styleId="Heading6">
    <w:name w:val="heading 6"/>
    <w:basedOn w:val="Normal"/>
    <w:next w:val="Normal"/>
    <w:link w:val="Heading6Char"/>
    <w:uiPriority w:val="9"/>
    <w:semiHidden/>
    <w:unhideWhenUsed/>
    <w:qFormat/>
    <w:rsid w:val="003A70D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Paragraph-nospaceafter"/>
    <w:autoRedefine/>
    <w:uiPriority w:val="1"/>
    <w:qFormat/>
    <w:rsid w:val="00AC2EC5"/>
    <w:pPr>
      <w:numPr>
        <w:numId w:val="13"/>
      </w:numPr>
      <w:spacing w:after="240"/>
      <w:contextualSpacing/>
    </w:pPr>
    <w:rPr>
      <w:sz w:val="26"/>
    </w:rPr>
  </w:style>
  <w:style w:type="numbering" w:customStyle="1" w:styleId="ParaSecretariat">
    <w:name w:val="Para # Secretariat"/>
    <w:uiPriority w:val="99"/>
    <w:rsid w:val="006F6A06"/>
    <w:pPr>
      <w:numPr>
        <w:numId w:val="1"/>
      </w:numPr>
    </w:pPr>
  </w:style>
  <w:style w:type="paragraph" w:styleId="Header">
    <w:name w:val="header"/>
    <w:basedOn w:val="Normal"/>
    <w:link w:val="HeaderChar"/>
    <w:uiPriority w:val="99"/>
    <w:unhideWhenUsed/>
    <w:qFormat/>
    <w:rsid w:val="00A06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EE7"/>
  </w:style>
  <w:style w:type="paragraph" w:styleId="Footer">
    <w:name w:val="footer"/>
    <w:basedOn w:val="Normal"/>
    <w:link w:val="FooterChar"/>
    <w:uiPriority w:val="99"/>
    <w:unhideWhenUsed/>
    <w:qFormat/>
    <w:rsid w:val="00A06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EE7"/>
  </w:style>
  <w:style w:type="character" w:styleId="CommentReference">
    <w:name w:val="annotation reference"/>
    <w:basedOn w:val="DefaultParagraphFont"/>
    <w:uiPriority w:val="99"/>
    <w:semiHidden/>
    <w:unhideWhenUsed/>
    <w:rsid w:val="006A4C6B"/>
    <w:rPr>
      <w:sz w:val="16"/>
      <w:szCs w:val="16"/>
    </w:rPr>
  </w:style>
  <w:style w:type="paragraph" w:styleId="CommentText">
    <w:name w:val="annotation text"/>
    <w:basedOn w:val="Normal"/>
    <w:link w:val="CommentTextChar"/>
    <w:uiPriority w:val="99"/>
    <w:unhideWhenUsed/>
    <w:rsid w:val="006A4C6B"/>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6A4C6B"/>
    <w:rPr>
      <w:rFonts w:ascii="Arial" w:hAnsi="Arial"/>
      <w:sz w:val="20"/>
      <w:szCs w:val="20"/>
    </w:rPr>
  </w:style>
  <w:style w:type="paragraph" w:styleId="BalloonText">
    <w:name w:val="Balloon Text"/>
    <w:basedOn w:val="Normal"/>
    <w:link w:val="BalloonTextChar"/>
    <w:uiPriority w:val="99"/>
    <w:semiHidden/>
    <w:unhideWhenUsed/>
    <w:rsid w:val="006A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C6B"/>
    <w:rPr>
      <w:rFonts w:ascii="Segoe UI" w:hAnsi="Segoe UI" w:cs="Segoe UI"/>
      <w:sz w:val="18"/>
      <w:szCs w:val="18"/>
    </w:rPr>
  </w:style>
  <w:style w:type="table" w:styleId="TableGrid">
    <w:name w:val="Table Grid"/>
    <w:basedOn w:val="TableNormal"/>
    <w:uiPriority w:val="59"/>
    <w:rsid w:val="0039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F510F"/>
    <w:pPr>
      <w:spacing w:after="300" w:line="300" w:lineRule="auto"/>
    </w:pPr>
    <w:rPr>
      <w:rFonts w:cstheme="minorBidi"/>
      <w:sz w:val="28"/>
      <w:szCs w:val="26"/>
      <w:lang w:val="en-US" w:eastAsia="en-CA"/>
    </w:rPr>
  </w:style>
  <w:style w:type="paragraph" w:customStyle="1" w:styleId="ListParagraph-nospaceafter">
    <w:name w:val="List Paragraph - no space after"/>
    <w:basedOn w:val="Default"/>
    <w:qFormat/>
    <w:rsid w:val="00DC0304"/>
  </w:style>
  <w:style w:type="character" w:customStyle="1" w:styleId="Heading1Char">
    <w:name w:val="Heading 1 Char"/>
    <w:basedOn w:val="DefaultParagraphFont"/>
    <w:link w:val="Heading1"/>
    <w:uiPriority w:val="9"/>
    <w:rsid w:val="004D25C1"/>
    <w:rPr>
      <w:rFonts w:asciiTheme="minorHAnsi" w:hAnsiTheme="minorHAnsi" w:cstheme="minorBidi"/>
      <w:b/>
      <w:noProof/>
      <w:sz w:val="52"/>
      <w:szCs w:val="72"/>
      <w:lang w:val="en-US" w:eastAsia="en-CA"/>
    </w:rPr>
  </w:style>
  <w:style w:type="paragraph" w:customStyle="1" w:styleId="Heading2numbered">
    <w:name w:val="Heading 2 numbered"/>
    <w:basedOn w:val="Normal"/>
    <w:qFormat/>
    <w:rsid w:val="00A273A2"/>
    <w:pPr>
      <w:numPr>
        <w:numId w:val="2"/>
      </w:numPr>
      <w:spacing w:after="300" w:line="240" w:lineRule="auto"/>
      <w:outlineLvl w:val="1"/>
    </w:pPr>
    <w:rPr>
      <w:rFonts w:cstheme="minorBidi"/>
      <w:b/>
      <w:color w:val="7A0306"/>
      <w:sz w:val="60"/>
      <w:szCs w:val="60"/>
      <w:lang w:val="en-US" w:eastAsia="en-CA"/>
    </w:rPr>
  </w:style>
  <w:style w:type="character" w:customStyle="1" w:styleId="Heading3Char">
    <w:name w:val="Heading 3 Char"/>
    <w:basedOn w:val="DefaultParagraphFont"/>
    <w:link w:val="Heading3"/>
    <w:uiPriority w:val="9"/>
    <w:rsid w:val="00CD54AC"/>
    <w:rPr>
      <w:rFonts w:ascii="Calibri" w:hAnsi="Calibri" w:cstheme="minorBidi"/>
      <w:b/>
      <w:sz w:val="38"/>
      <w:szCs w:val="48"/>
      <w:lang w:val="en-US" w:eastAsia="en-CA"/>
    </w:rPr>
  </w:style>
  <w:style w:type="paragraph" w:customStyle="1" w:styleId="Heading5indented">
    <w:name w:val="Heading 5 indented"/>
    <w:basedOn w:val="Normal"/>
    <w:qFormat/>
    <w:rsid w:val="00EC1808"/>
    <w:pPr>
      <w:spacing w:after="300"/>
      <w:ind w:left="288"/>
    </w:pPr>
    <w:rPr>
      <w:rFonts w:cstheme="minorBidi"/>
      <w:b/>
      <w:color w:val="000000" w:themeColor="text1"/>
      <w:sz w:val="32"/>
      <w:szCs w:val="32"/>
      <w:lang w:val="en-US" w:eastAsia="en-CA"/>
    </w:rPr>
  </w:style>
  <w:style w:type="paragraph" w:customStyle="1" w:styleId="normalboxindent-topparainbox">
    <w:name w:val="normal box indent - top para in box"/>
    <w:basedOn w:val="Normal"/>
    <w:qFormat/>
    <w:rsid w:val="00EC1808"/>
    <w:pPr>
      <w:spacing w:before="480" w:after="300" w:line="300" w:lineRule="auto"/>
      <w:ind w:left="288" w:right="432"/>
    </w:pPr>
    <w:rPr>
      <w:rFonts w:cstheme="minorBidi"/>
      <w:sz w:val="28"/>
      <w:szCs w:val="26"/>
      <w:lang w:val="la-Latn" w:eastAsia="en-CA"/>
    </w:rPr>
  </w:style>
  <w:style w:type="paragraph" w:styleId="CommentSubject">
    <w:name w:val="annotation subject"/>
    <w:basedOn w:val="CommentText"/>
    <w:next w:val="CommentText"/>
    <w:link w:val="CommentSubjectChar"/>
    <w:uiPriority w:val="99"/>
    <w:semiHidden/>
    <w:unhideWhenUsed/>
    <w:rsid w:val="00616094"/>
    <w:rPr>
      <w:rFonts w:ascii="Times New Roman" w:hAnsi="Times New Roman"/>
      <w:b/>
      <w:bCs/>
    </w:rPr>
  </w:style>
  <w:style w:type="character" w:customStyle="1" w:styleId="CommentSubjectChar">
    <w:name w:val="Comment Subject Char"/>
    <w:basedOn w:val="CommentTextChar"/>
    <w:link w:val="CommentSubject"/>
    <w:uiPriority w:val="99"/>
    <w:semiHidden/>
    <w:rsid w:val="00616094"/>
    <w:rPr>
      <w:rFonts w:ascii="Arial" w:hAnsi="Arial"/>
      <w:b/>
      <w:bCs/>
      <w:sz w:val="20"/>
      <w:szCs w:val="20"/>
    </w:rPr>
  </w:style>
  <w:style w:type="character" w:styleId="Hyperlink">
    <w:name w:val="Hyperlink"/>
    <w:basedOn w:val="DefaultParagraphFont"/>
    <w:uiPriority w:val="99"/>
    <w:unhideWhenUsed/>
    <w:rsid w:val="00951D8F"/>
    <w:rPr>
      <w:color w:val="0000FF" w:themeColor="hyperlink"/>
      <w:u w:val="single"/>
    </w:rPr>
  </w:style>
  <w:style w:type="character" w:styleId="FollowedHyperlink">
    <w:name w:val="FollowedHyperlink"/>
    <w:basedOn w:val="DefaultParagraphFont"/>
    <w:uiPriority w:val="99"/>
    <w:semiHidden/>
    <w:unhideWhenUsed/>
    <w:rsid w:val="002C5DEB"/>
    <w:rPr>
      <w:color w:val="800080" w:themeColor="followedHyperlink"/>
      <w:u w:val="single"/>
    </w:rPr>
  </w:style>
  <w:style w:type="paragraph" w:customStyle="1" w:styleId="TOCheader">
    <w:name w:val="TOC header"/>
    <w:basedOn w:val="Normal"/>
    <w:qFormat/>
    <w:rsid w:val="00C276EC"/>
    <w:pPr>
      <w:spacing w:after="300" w:line="300" w:lineRule="auto"/>
    </w:pPr>
    <w:rPr>
      <w:rFonts w:cstheme="minorBidi"/>
      <w:b/>
      <w:color w:val="7A0306"/>
      <w:sz w:val="60"/>
      <w:szCs w:val="60"/>
      <w:lang w:val="en-US" w:eastAsia="en-CA"/>
    </w:rPr>
  </w:style>
  <w:style w:type="paragraph" w:styleId="TOCHeading">
    <w:name w:val="TOC Heading"/>
    <w:basedOn w:val="Heading1"/>
    <w:next w:val="Normal"/>
    <w:uiPriority w:val="39"/>
    <w:unhideWhenUsed/>
    <w:qFormat/>
    <w:rsid w:val="00C276EC"/>
    <w:pPr>
      <w:keepNext/>
      <w:keepLines/>
      <w:widowControl/>
      <w:spacing w:before="240" w:after="0" w:line="259" w:lineRule="auto"/>
      <w:outlineLvl w:val="9"/>
    </w:pPr>
    <w:rPr>
      <w:noProof w:val="0"/>
      <w:color w:val="7A0306"/>
      <w:sz w:val="60"/>
      <w:szCs w:val="60"/>
    </w:rPr>
  </w:style>
  <w:style w:type="paragraph" w:styleId="TOC1">
    <w:name w:val="toc 1"/>
    <w:basedOn w:val="Normal"/>
    <w:next w:val="Normal"/>
    <w:autoRedefine/>
    <w:uiPriority w:val="39"/>
    <w:unhideWhenUsed/>
    <w:rsid w:val="00CB7BA3"/>
    <w:pPr>
      <w:tabs>
        <w:tab w:val="right" w:leader="dot" w:pos="9350"/>
      </w:tabs>
      <w:spacing w:before="120" w:after="0"/>
    </w:pPr>
    <w:rPr>
      <w:lang w:val="fr-CA"/>
    </w:rPr>
  </w:style>
  <w:style w:type="paragraph" w:styleId="TOC2">
    <w:name w:val="toc 2"/>
    <w:basedOn w:val="Normal"/>
    <w:next w:val="Normal"/>
    <w:autoRedefine/>
    <w:uiPriority w:val="39"/>
    <w:unhideWhenUsed/>
    <w:rsid w:val="00AC2EC5"/>
    <w:pPr>
      <w:tabs>
        <w:tab w:val="left" w:pos="660"/>
        <w:tab w:val="right" w:leader="dot" w:pos="9350"/>
      </w:tabs>
      <w:spacing w:after="100"/>
      <w:ind w:left="240"/>
    </w:pPr>
    <w:rPr>
      <w:rFonts w:cstheme="minorHAnsi"/>
      <w:noProof/>
      <w:sz w:val="28"/>
      <w:szCs w:val="28"/>
    </w:rPr>
  </w:style>
  <w:style w:type="paragraph" w:styleId="TOC3">
    <w:name w:val="toc 3"/>
    <w:basedOn w:val="Normal"/>
    <w:next w:val="Normal"/>
    <w:autoRedefine/>
    <w:uiPriority w:val="39"/>
    <w:unhideWhenUsed/>
    <w:rsid w:val="00C276EC"/>
    <w:pPr>
      <w:spacing w:after="100"/>
      <w:ind w:left="480"/>
    </w:pPr>
  </w:style>
  <w:style w:type="paragraph" w:styleId="Revision">
    <w:name w:val="Revision"/>
    <w:hidden/>
    <w:uiPriority w:val="99"/>
    <w:semiHidden/>
    <w:rsid w:val="00BD1649"/>
    <w:pPr>
      <w:spacing w:after="0" w:line="240" w:lineRule="auto"/>
    </w:pPr>
  </w:style>
  <w:style w:type="character" w:customStyle="1" w:styleId="Heading2Char">
    <w:name w:val="Heading 2 Char"/>
    <w:basedOn w:val="DefaultParagraphFont"/>
    <w:link w:val="Heading2"/>
    <w:uiPriority w:val="9"/>
    <w:rsid w:val="00CD54AC"/>
    <w:rPr>
      <w:rFonts w:ascii="Calibri" w:eastAsiaTheme="majorEastAsia" w:hAnsi="Calibri" w:cstheme="majorBidi"/>
      <w:b/>
      <w:noProof/>
      <w:sz w:val="46"/>
      <w:szCs w:val="26"/>
      <w:lang w:val="en-US" w:eastAsia="en-CA"/>
    </w:rPr>
  </w:style>
  <w:style w:type="character" w:customStyle="1" w:styleId="Heading4Char">
    <w:name w:val="Heading 4 Char"/>
    <w:basedOn w:val="DefaultParagraphFont"/>
    <w:link w:val="Heading4"/>
    <w:uiPriority w:val="9"/>
    <w:rsid w:val="006C5303"/>
    <w:rPr>
      <w:rFonts w:ascii="Calibri" w:eastAsiaTheme="majorEastAsia" w:hAnsi="Calibri" w:cstheme="majorBidi"/>
      <w:b/>
      <w:iCs/>
      <w:sz w:val="30"/>
    </w:rPr>
  </w:style>
  <w:style w:type="paragraph" w:customStyle="1" w:styleId="subsection">
    <w:name w:val="subsection"/>
    <w:basedOn w:val="Normal"/>
    <w:rsid w:val="00D85EBF"/>
    <w:pPr>
      <w:spacing w:before="100" w:beforeAutospacing="1" w:after="100" w:afterAutospacing="1" w:line="240" w:lineRule="auto"/>
    </w:pPr>
    <w:rPr>
      <w:rFonts w:eastAsia="Times New Roman"/>
      <w:lang w:val="en-US"/>
    </w:rPr>
  </w:style>
  <w:style w:type="paragraph" w:customStyle="1" w:styleId="paragraph">
    <w:name w:val="paragraph"/>
    <w:basedOn w:val="Normal"/>
    <w:rsid w:val="00D85EBF"/>
    <w:pPr>
      <w:spacing w:before="100" w:beforeAutospacing="1" w:after="100" w:afterAutospacing="1" w:line="240" w:lineRule="auto"/>
    </w:pPr>
    <w:rPr>
      <w:rFonts w:eastAsia="Times New Roman"/>
      <w:lang w:val="en-US"/>
    </w:rPr>
  </w:style>
  <w:style w:type="character" w:customStyle="1" w:styleId="lawlabel">
    <w:name w:val="lawlabel"/>
    <w:basedOn w:val="DefaultParagraphFont"/>
    <w:rsid w:val="00D85EBF"/>
  </w:style>
  <w:style w:type="character" w:customStyle="1" w:styleId="Heading6Char">
    <w:name w:val="Heading 6 Char"/>
    <w:basedOn w:val="DefaultParagraphFont"/>
    <w:link w:val="Heading6"/>
    <w:uiPriority w:val="9"/>
    <w:semiHidden/>
    <w:rsid w:val="003A70D9"/>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D53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13B"/>
    <w:rPr>
      <w:sz w:val="20"/>
      <w:szCs w:val="20"/>
    </w:rPr>
  </w:style>
  <w:style w:type="character" w:styleId="FootnoteReference">
    <w:name w:val="footnote reference"/>
    <w:basedOn w:val="DefaultParagraphFont"/>
    <w:uiPriority w:val="99"/>
    <w:semiHidden/>
    <w:unhideWhenUsed/>
    <w:rsid w:val="00D5313B"/>
    <w:rPr>
      <w:vertAlign w:val="superscript"/>
    </w:rPr>
  </w:style>
  <w:style w:type="paragraph" w:styleId="NormalWeb">
    <w:name w:val="Normal (Web)"/>
    <w:basedOn w:val="Normal"/>
    <w:uiPriority w:val="99"/>
    <w:semiHidden/>
    <w:unhideWhenUsed/>
    <w:rsid w:val="00E934E2"/>
    <w:pPr>
      <w:spacing w:before="100" w:beforeAutospacing="1" w:after="100" w:afterAutospacing="1" w:line="240" w:lineRule="auto"/>
    </w:pPr>
    <w:rPr>
      <w:rFonts w:eastAsia="Times New Roman"/>
      <w:lang w:val="en-US"/>
    </w:rPr>
  </w:style>
  <w:style w:type="character" w:customStyle="1" w:styleId="cskcde">
    <w:name w:val="cskcde"/>
    <w:basedOn w:val="DefaultParagraphFont"/>
    <w:rsid w:val="00D85FA9"/>
  </w:style>
  <w:style w:type="character" w:customStyle="1" w:styleId="hgkelc">
    <w:name w:val="hgkelc"/>
    <w:basedOn w:val="DefaultParagraphFont"/>
    <w:rsid w:val="00D85FA9"/>
  </w:style>
  <w:style w:type="character" w:customStyle="1" w:styleId="Heading5Char">
    <w:name w:val="Heading 5 Char"/>
    <w:basedOn w:val="DefaultParagraphFont"/>
    <w:link w:val="Heading5"/>
    <w:uiPriority w:val="9"/>
    <w:rsid w:val="00CD54AC"/>
    <w:rPr>
      <w:rFonts w:ascii="Calibri" w:eastAsiaTheme="majorEastAsia" w:hAnsi="Calibri" w:cstheme="majorBidi"/>
      <w:b/>
      <w:sz w:val="26"/>
    </w:rPr>
  </w:style>
  <w:style w:type="paragraph" w:styleId="NoSpacing">
    <w:name w:val="No Spacing"/>
    <w:uiPriority w:val="1"/>
    <w:qFormat/>
    <w:rsid w:val="00CD54AC"/>
    <w:pPr>
      <w:spacing w:after="0" w:line="240" w:lineRule="auto"/>
    </w:pPr>
    <w:rPr>
      <w:rFonts w:asciiTheme="minorHAnsi" w:hAnsiTheme="minorHAnsi"/>
      <w:sz w:val="26"/>
    </w:rPr>
  </w:style>
  <w:style w:type="character" w:customStyle="1" w:styleId="ui-provider">
    <w:name w:val="ui-provider"/>
    <w:basedOn w:val="DefaultParagraphFont"/>
    <w:rsid w:val="00A52ECD"/>
  </w:style>
  <w:style w:type="paragraph" w:customStyle="1" w:styleId="Listparagraphbullets-nospaceafter">
    <w:name w:val="List paragraph bullets - no space after"/>
    <w:basedOn w:val="Normal"/>
    <w:qFormat/>
    <w:rsid w:val="001E20A7"/>
    <w:pPr>
      <w:numPr>
        <w:numId w:val="19"/>
      </w:numPr>
      <w:spacing w:after="0"/>
      <w:ind w:left="630" w:hanging="270"/>
    </w:pPr>
    <w:rPr>
      <w:rFonts w:ascii="Calibri" w:hAnsi="Calibri"/>
      <w:noProo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40359856">
      <w:bodyDiv w:val="1"/>
      <w:marLeft w:val="0"/>
      <w:marRight w:val="0"/>
      <w:marTop w:val="0"/>
      <w:marBottom w:val="0"/>
      <w:divBdr>
        <w:top w:val="none" w:sz="0" w:space="0" w:color="auto"/>
        <w:left w:val="none" w:sz="0" w:space="0" w:color="auto"/>
        <w:bottom w:val="none" w:sz="0" w:space="0" w:color="auto"/>
        <w:right w:val="none" w:sz="0" w:space="0" w:color="auto"/>
      </w:divBdr>
    </w:div>
    <w:div w:id="348143311">
      <w:bodyDiv w:val="1"/>
      <w:marLeft w:val="0"/>
      <w:marRight w:val="0"/>
      <w:marTop w:val="0"/>
      <w:marBottom w:val="0"/>
      <w:divBdr>
        <w:top w:val="none" w:sz="0" w:space="0" w:color="auto"/>
        <w:left w:val="none" w:sz="0" w:space="0" w:color="auto"/>
        <w:bottom w:val="none" w:sz="0" w:space="0" w:color="auto"/>
        <w:right w:val="none" w:sz="0" w:space="0" w:color="auto"/>
      </w:divBdr>
      <w:divsChild>
        <w:div w:id="2094469327">
          <w:marLeft w:val="0"/>
          <w:marRight w:val="0"/>
          <w:marTop w:val="0"/>
          <w:marBottom w:val="0"/>
          <w:divBdr>
            <w:top w:val="none" w:sz="0" w:space="0" w:color="auto"/>
            <w:left w:val="none" w:sz="0" w:space="0" w:color="auto"/>
            <w:bottom w:val="none" w:sz="0" w:space="0" w:color="auto"/>
            <w:right w:val="none" w:sz="0" w:space="0" w:color="auto"/>
          </w:divBdr>
        </w:div>
        <w:div w:id="1701125564">
          <w:marLeft w:val="0"/>
          <w:marRight w:val="0"/>
          <w:marTop w:val="0"/>
          <w:marBottom w:val="120"/>
          <w:divBdr>
            <w:top w:val="none" w:sz="0" w:space="0" w:color="auto"/>
            <w:left w:val="none" w:sz="0" w:space="0" w:color="auto"/>
            <w:bottom w:val="none" w:sz="0" w:space="0" w:color="auto"/>
            <w:right w:val="none" w:sz="0" w:space="0" w:color="auto"/>
          </w:divBdr>
        </w:div>
        <w:div w:id="1304576360">
          <w:marLeft w:val="0"/>
          <w:marRight w:val="0"/>
          <w:marTop w:val="0"/>
          <w:marBottom w:val="0"/>
          <w:divBdr>
            <w:top w:val="none" w:sz="0" w:space="0" w:color="auto"/>
            <w:left w:val="none" w:sz="0" w:space="0" w:color="auto"/>
            <w:bottom w:val="none" w:sz="0" w:space="0" w:color="auto"/>
            <w:right w:val="none" w:sz="0" w:space="0" w:color="auto"/>
          </w:divBdr>
        </w:div>
        <w:div w:id="998075241">
          <w:marLeft w:val="0"/>
          <w:marRight w:val="0"/>
          <w:marTop w:val="0"/>
          <w:marBottom w:val="120"/>
          <w:divBdr>
            <w:top w:val="none" w:sz="0" w:space="0" w:color="auto"/>
            <w:left w:val="none" w:sz="0" w:space="0" w:color="auto"/>
            <w:bottom w:val="none" w:sz="0" w:space="0" w:color="auto"/>
            <w:right w:val="none" w:sz="0" w:space="0" w:color="auto"/>
          </w:divBdr>
        </w:div>
        <w:div w:id="1185629212">
          <w:marLeft w:val="0"/>
          <w:marRight w:val="0"/>
          <w:marTop w:val="0"/>
          <w:marBottom w:val="120"/>
          <w:divBdr>
            <w:top w:val="none" w:sz="0" w:space="0" w:color="auto"/>
            <w:left w:val="none" w:sz="0" w:space="0" w:color="auto"/>
            <w:bottom w:val="none" w:sz="0" w:space="0" w:color="auto"/>
            <w:right w:val="none" w:sz="0" w:space="0" w:color="auto"/>
          </w:divBdr>
        </w:div>
        <w:div w:id="410197084">
          <w:marLeft w:val="0"/>
          <w:marRight w:val="0"/>
          <w:marTop w:val="0"/>
          <w:marBottom w:val="0"/>
          <w:divBdr>
            <w:top w:val="none" w:sz="0" w:space="0" w:color="auto"/>
            <w:left w:val="none" w:sz="0" w:space="0" w:color="auto"/>
            <w:bottom w:val="none" w:sz="0" w:space="0" w:color="auto"/>
            <w:right w:val="none" w:sz="0" w:space="0" w:color="auto"/>
          </w:divBdr>
        </w:div>
        <w:div w:id="2146307899">
          <w:marLeft w:val="0"/>
          <w:marRight w:val="0"/>
          <w:marTop w:val="0"/>
          <w:marBottom w:val="120"/>
          <w:divBdr>
            <w:top w:val="none" w:sz="0" w:space="0" w:color="auto"/>
            <w:left w:val="none" w:sz="0" w:space="0" w:color="auto"/>
            <w:bottom w:val="none" w:sz="0" w:space="0" w:color="auto"/>
            <w:right w:val="none" w:sz="0" w:space="0" w:color="auto"/>
          </w:divBdr>
        </w:div>
        <w:div w:id="1988824468">
          <w:marLeft w:val="0"/>
          <w:marRight w:val="0"/>
          <w:marTop w:val="0"/>
          <w:marBottom w:val="0"/>
          <w:divBdr>
            <w:top w:val="none" w:sz="0" w:space="0" w:color="auto"/>
            <w:left w:val="none" w:sz="0" w:space="0" w:color="auto"/>
            <w:bottom w:val="none" w:sz="0" w:space="0" w:color="auto"/>
            <w:right w:val="none" w:sz="0" w:space="0" w:color="auto"/>
          </w:divBdr>
        </w:div>
        <w:div w:id="33620904">
          <w:marLeft w:val="0"/>
          <w:marRight w:val="0"/>
          <w:marTop w:val="0"/>
          <w:marBottom w:val="120"/>
          <w:divBdr>
            <w:top w:val="none" w:sz="0" w:space="0" w:color="auto"/>
            <w:left w:val="none" w:sz="0" w:space="0" w:color="auto"/>
            <w:bottom w:val="none" w:sz="0" w:space="0" w:color="auto"/>
            <w:right w:val="none" w:sz="0" w:space="0" w:color="auto"/>
          </w:divBdr>
        </w:div>
        <w:div w:id="1030106534">
          <w:marLeft w:val="0"/>
          <w:marRight w:val="0"/>
          <w:marTop w:val="0"/>
          <w:marBottom w:val="0"/>
          <w:divBdr>
            <w:top w:val="none" w:sz="0" w:space="0" w:color="auto"/>
            <w:left w:val="none" w:sz="0" w:space="0" w:color="auto"/>
            <w:bottom w:val="none" w:sz="0" w:space="0" w:color="auto"/>
            <w:right w:val="none" w:sz="0" w:space="0" w:color="auto"/>
          </w:divBdr>
        </w:div>
        <w:div w:id="2084450254">
          <w:marLeft w:val="0"/>
          <w:marRight w:val="0"/>
          <w:marTop w:val="0"/>
          <w:marBottom w:val="0"/>
          <w:divBdr>
            <w:top w:val="none" w:sz="0" w:space="0" w:color="auto"/>
            <w:left w:val="none" w:sz="0" w:space="0" w:color="auto"/>
            <w:bottom w:val="none" w:sz="0" w:space="0" w:color="auto"/>
            <w:right w:val="none" w:sz="0" w:space="0" w:color="auto"/>
          </w:divBdr>
        </w:div>
      </w:divsChild>
    </w:div>
    <w:div w:id="528683429">
      <w:bodyDiv w:val="1"/>
      <w:marLeft w:val="0"/>
      <w:marRight w:val="0"/>
      <w:marTop w:val="0"/>
      <w:marBottom w:val="0"/>
      <w:divBdr>
        <w:top w:val="none" w:sz="0" w:space="0" w:color="auto"/>
        <w:left w:val="none" w:sz="0" w:space="0" w:color="auto"/>
        <w:bottom w:val="none" w:sz="0" w:space="0" w:color="auto"/>
        <w:right w:val="none" w:sz="0" w:space="0" w:color="auto"/>
      </w:divBdr>
    </w:div>
    <w:div w:id="621769275">
      <w:bodyDiv w:val="1"/>
      <w:marLeft w:val="0"/>
      <w:marRight w:val="0"/>
      <w:marTop w:val="0"/>
      <w:marBottom w:val="0"/>
      <w:divBdr>
        <w:top w:val="none" w:sz="0" w:space="0" w:color="auto"/>
        <w:left w:val="none" w:sz="0" w:space="0" w:color="auto"/>
        <w:bottom w:val="none" w:sz="0" w:space="0" w:color="auto"/>
        <w:right w:val="none" w:sz="0" w:space="0" w:color="auto"/>
      </w:divBdr>
      <w:divsChild>
        <w:div w:id="1739090807">
          <w:marLeft w:val="0"/>
          <w:marRight w:val="0"/>
          <w:marTop w:val="0"/>
          <w:marBottom w:val="0"/>
          <w:divBdr>
            <w:top w:val="none" w:sz="0" w:space="0" w:color="auto"/>
            <w:left w:val="none" w:sz="0" w:space="0" w:color="auto"/>
            <w:bottom w:val="none" w:sz="0" w:space="0" w:color="auto"/>
            <w:right w:val="none" w:sz="0" w:space="0" w:color="auto"/>
          </w:divBdr>
        </w:div>
        <w:div w:id="1832871935">
          <w:marLeft w:val="0"/>
          <w:marRight w:val="0"/>
          <w:marTop w:val="0"/>
          <w:marBottom w:val="120"/>
          <w:divBdr>
            <w:top w:val="none" w:sz="0" w:space="0" w:color="auto"/>
            <w:left w:val="none" w:sz="0" w:space="0" w:color="auto"/>
            <w:bottom w:val="none" w:sz="0" w:space="0" w:color="auto"/>
            <w:right w:val="none" w:sz="0" w:space="0" w:color="auto"/>
          </w:divBdr>
        </w:div>
      </w:divsChild>
    </w:div>
    <w:div w:id="882060732">
      <w:bodyDiv w:val="1"/>
      <w:marLeft w:val="0"/>
      <w:marRight w:val="0"/>
      <w:marTop w:val="0"/>
      <w:marBottom w:val="0"/>
      <w:divBdr>
        <w:top w:val="none" w:sz="0" w:space="0" w:color="auto"/>
        <w:left w:val="none" w:sz="0" w:space="0" w:color="auto"/>
        <w:bottom w:val="none" w:sz="0" w:space="0" w:color="auto"/>
        <w:right w:val="none" w:sz="0" w:space="0" w:color="auto"/>
      </w:divBdr>
    </w:div>
    <w:div w:id="1079248767">
      <w:bodyDiv w:val="1"/>
      <w:marLeft w:val="0"/>
      <w:marRight w:val="0"/>
      <w:marTop w:val="0"/>
      <w:marBottom w:val="0"/>
      <w:divBdr>
        <w:top w:val="none" w:sz="0" w:space="0" w:color="auto"/>
        <w:left w:val="none" w:sz="0" w:space="0" w:color="auto"/>
        <w:bottom w:val="none" w:sz="0" w:space="0" w:color="auto"/>
        <w:right w:val="none" w:sz="0" w:space="0" w:color="auto"/>
      </w:divBdr>
      <w:divsChild>
        <w:div w:id="2083521645">
          <w:marLeft w:val="0"/>
          <w:marRight w:val="0"/>
          <w:marTop w:val="0"/>
          <w:marBottom w:val="0"/>
          <w:divBdr>
            <w:top w:val="none" w:sz="0" w:space="0" w:color="auto"/>
            <w:left w:val="none" w:sz="0" w:space="0" w:color="auto"/>
            <w:bottom w:val="none" w:sz="0" w:space="0" w:color="auto"/>
            <w:right w:val="none" w:sz="0" w:space="0" w:color="auto"/>
          </w:divBdr>
        </w:div>
        <w:div w:id="1578514856">
          <w:marLeft w:val="0"/>
          <w:marRight w:val="0"/>
          <w:marTop w:val="0"/>
          <w:marBottom w:val="120"/>
          <w:divBdr>
            <w:top w:val="none" w:sz="0" w:space="0" w:color="auto"/>
            <w:left w:val="none" w:sz="0" w:space="0" w:color="auto"/>
            <w:bottom w:val="none" w:sz="0" w:space="0" w:color="auto"/>
            <w:right w:val="none" w:sz="0" w:space="0" w:color="auto"/>
          </w:divBdr>
        </w:div>
        <w:div w:id="426777259">
          <w:marLeft w:val="0"/>
          <w:marRight w:val="0"/>
          <w:marTop w:val="0"/>
          <w:marBottom w:val="0"/>
          <w:divBdr>
            <w:top w:val="none" w:sz="0" w:space="0" w:color="auto"/>
            <w:left w:val="none" w:sz="0" w:space="0" w:color="auto"/>
            <w:bottom w:val="none" w:sz="0" w:space="0" w:color="auto"/>
            <w:right w:val="none" w:sz="0" w:space="0" w:color="auto"/>
          </w:divBdr>
        </w:div>
        <w:div w:id="318731621">
          <w:marLeft w:val="0"/>
          <w:marRight w:val="0"/>
          <w:marTop w:val="0"/>
          <w:marBottom w:val="120"/>
          <w:divBdr>
            <w:top w:val="none" w:sz="0" w:space="0" w:color="auto"/>
            <w:left w:val="none" w:sz="0" w:space="0" w:color="auto"/>
            <w:bottom w:val="none" w:sz="0" w:space="0" w:color="auto"/>
            <w:right w:val="none" w:sz="0" w:space="0" w:color="auto"/>
          </w:divBdr>
        </w:div>
        <w:div w:id="1278442613">
          <w:marLeft w:val="0"/>
          <w:marRight w:val="0"/>
          <w:marTop w:val="0"/>
          <w:marBottom w:val="120"/>
          <w:divBdr>
            <w:top w:val="none" w:sz="0" w:space="0" w:color="auto"/>
            <w:left w:val="none" w:sz="0" w:space="0" w:color="auto"/>
            <w:bottom w:val="none" w:sz="0" w:space="0" w:color="auto"/>
            <w:right w:val="none" w:sz="0" w:space="0" w:color="auto"/>
          </w:divBdr>
        </w:div>
        <w:div w:id="2112508971">
          <w:marLeft w:val="0"/>
          <w:marRight w:val="0"/>
          <w:marTop w:val="0"/>
          <w:marBottom w:val="0"/>
          <w:divBdr>
            <w:top w:val="none" w:sz="0" w:space="0" w:color="auto"/>
            <w:left w:val="none" w:sz="0" w:space="0" w:color="auto"/>
            <w:bottom w:val="none" w:sz="0" w:space="0" w:color="auto"/>
            <w:right w:val="none" w:sz="0" w:space="0" w:color="auto"/>
          </w:divBdr>
        </w:div>
        <w:div w:id="235865501">
          <w:marLeft w:val="0"/>
          <w:marRight w:val="0"/>
          <w:marTop w:val="0"/>
          <w:marBottom w:val="120"/>
          <w:divBdr>
            <w:top w:val="none" w:sz="0" w:space="0" w:color="auto"/>
            <w:left w:val="none" w:sz="0" w:space="0" w:color="auto"/>
            <w:bottom w:val="none" w:sz="0" w:space="0" w:color="auto"/>
            <w:right w:val="none" w:sz="0" w:space="0" w:color="auto"/>
          </w:divBdr>
        </w:div>
        <w:div w:id="1932086918">
          <w:marLeft w:val="0"/>
          <w:marRight w:val="0"/>
          <w:marTop w:val="0"/>
          <w:marBottom w:val="0"/>
          <w:divBdr>
            <w:top w:val="none" w:sz="0" w:space="0" w:color="auto"/>
            <w:left w:val="none" w:sz="0" w:space="0" w:color="auto"/>
            <w:bottom w:val="none" w:sz="0" w:space="0" w:color="auto"/>
            <w:right w:val="none" w:sz="0" w:space="0" w:color="auto"/>
          </w:divBdr>
        </w:div>
        <w:div w:id="479620978">
          <w:marLeft w:val="0"/>
          <w:marRight w:val="0"/>
          <w:marTop w:val="0"/>
          <w:marBottom w:val="120"/>
          <w:divBdr>
            <w:top w:val="none" w:sz="0" w:space="0" w:color="auto"/>
            <w:left w:val="none" w:sz="0" w:space="0" w:color="auto"/>
            <w:bottom w:val="none" w:sz="0" w:space="0" w:color="auto"/>
            <w:right w:val="none" w:sz="0" w:space="0" w:color="auto"/>
          </w:divBdr>
        </w:div>
        <w:div w:id="659425328">
          <w:marLeft w:val="0"/>
          <w:marRight w:val="0"/>
          <w:marTop w:val="0"/>
          <w:marBottom w:val="0"/>
          <w:divBdr>
            <w:top w:val="none" w:sz="0" w:space="0" w:color="auto"/>
            <w:left w:val="none" w:sz="0" w:space="0" w:color="auto"/>
            <w:bottom w:val="none" w:sz="0" w:space="0" w:color="auto"/>
            <w:right w:val="none" w:sz="0" w:space="0" w:color="auto"/>
          </w:divBdr>
        </w:div>
        <w:div w:id="338117158">
          <w:marLeft w:val="0"/>
          <w:marRight w:val="0"/>
          <w:marTop w:val="0"/>
          <w:marBottom w:val="0"/>
          <w:divBdr>
            <w:top w:val="none" w:sz="0" w:space="0" w:color="auto"/>
            <w:left w:val="none" w:sz="0" w:space="0" w:color="auto"/>
            <w:bottom w:val="none" w:sz="0" w:space="0" w:color="auto"/>
            <w:right w:val="none" w:sz="0" w:space="0" w:color="auto"/>
          </w:divBdr>
        </w:div>
      </w:divsChild>
    </w:div>
    <w:div w:id="1123696760">
      <w:bodyDiv w:val="1"/>
      <w:marLeft w:val="0"/>
      <w:marRight w:val="0"/>
      <w:marTop w:val="0"/>
      <w:marBottom w:val="0"/>
      <w:divBdr>
        <w:top w:val="none" w:sz="0" w:space="0" w:color="auto"/>
        <w:left w:val="none" w:sz="0" w:space="0" w:color="auto"/>
        <w:bottom w:val="none" w:sz="0" w:space="0" w:color="auto"/>
        <w:right w:val="none" w:sz="0" w:space="0" w:color="auto"/>
      </w:divBdr>
    </w:div>
    <w:div w:id="1225530790">
      <w:bodyDiv w:val="1"/>
      <w:marLeft w:val="0"/>
      <w:marRight w:val="0"/>
      <w:marTop w:val="0"/>
      <w:marBottom w:val="0"/>
      <w:divBdr>
        <w:top w:val="none" w:sz="0" w:space="0" w:color="auto"/>
        <w:left w:val="none" w:sz="0" w:space="0" w:color="auto"/>
        <w:bottom w:val="none" w:sz="0" w:space="0" w:color="auto"/>
        <w:right w:val="none" w:sz="0" w:space="0" w:color="auto"/>
      </w:divBdr>
      <w:divsChild>
        <w:div w:id="1534809894">
          <w:marLeft w:val="0"/>
          <w:marRight w:val="0"/>
          <w:marTop w:val="0"/>
          <w:marBottom w:val="0"/>
          <w:divBdr>
            <w:top w:val="none" w:sz="0" w:space="0" w:color="auto"/>
            <w:left w:val="none" w:sz="0" w:space="0" w:color="auto"/>
            <w:bottom w:val="none" w:sz="0" w:space="0" w:color="auto"/>
            <w:right w:val="none" w:sz="0" w:space="0" w:color="auto"/>
          </w:divBdr>
        </w:div>
        <w:div w:id="1600329706">
          <w:marLeft w:val="0"/>
          <w:marRight w:val="0"/>
          <w:marTop w:val="0"/>
          <w:marBottom w:val="0"/>
          <w:divBdr>
            <w:top w:val="none" w:sz="0" w:space="0" w:color="auto"/>
            <w:left w:val="none" w:sz="0" w:space="0" w:color="auto"/>
            <w:bottom w:val="none" w:sz="0" w:space="0" w:color="auto"/>
            <w:right w:val="none" w:sz="0" w:space="0" w:color="auto"/>
          </w:divBdr>
        </w:div>
      </w:divsChild>
    </w:div>
    <w:div w:id="1364745380">
      <w:bodyDiv w:val="1"/>
      <w:marLeft w:val="0"/>
      <w:marRight w:val="0"/>
      <w:marTop w:val="0"/>
      <w:marBottom w:val="0"/>
      <w:divBdr>
        <w:top w:val="none" w:sz="0" w:space="0" w:color="auto"/>
        <w:left w:val="none" w:sz="0" w:space="0" w:color="auto"/>
        <w:bottom w:val="none" w:sz="0" w:space="0" w:color="auto"/>
        <w:right w:val="none" w:sz="0" w:space="0" w:color="auto"/>
      </w:divBdr>
    </w:div>
    <w:div w:id="1458526681">
      <w:bodyDiv w:val="1"/>
      <w:marLeft w:val="0"/>
      <w:marRight w:val="0"/>
      <w:marTop w:val="0"/>
      <w:marBottom w:val="0"/>
      <w:divBdr>
        <w:top w:val="none" w:sz="0" w:space="0" w:color="auto"/>
        <w:left w:val="none" w:sz="0" w:space="0" w:color="auto"/>
        <w:bottom w:val="none" w:sz="0" w:space="0" w:color="auto"/>
        <w:right w:val="none" w:sz="0" w:space="0" w:color="auto"/>
      </w:divBdr>
    </w:div>
    <w:div w:id="1462456845">
      <w:bodyDiv w:val="1"/>
      <w:marLeft w:val="0"/>
      <w:marRight w:val="0"/>
      <w:marTop w:val="0"/>
      <w:marBottom w:val="0"/>
      <w:divBdr>
        <w:top w:val="none" w:sz="0" w:space="0" w:color="auto"/>
        <w:left w:val="none" w:sz="0" w:space="0" w:color="auto"/>
        <w:bottom w:val="none" w:sz="0" w:space="0" w:color="auto"/>
        <w:right w:val="none" w:sz="0" w:space="0" w:color="auto"/>
      </w:divBdr>
    </w:div>
    <w:div w:id="1523934912">
      <w:bodyDiv w:val="1"/>
      <w:marLeft w:val="0"/>
      <w:marRight w:val="0"/>
      <w:marTop w:val="0"/>
      <w:marBottom w:val="0"/>
      <w:divBdr>
        <w:top w:val="none" w:sz="0" w:space="0" w:color="auto"/>
        <w:left w:val="none" w:sz="0" w:space="0" w:color="auto"/>
        <w:bottom w:val="none" w:sz="0" w:space="0" w:color="auto"/>
        <w:right w:val="none" w:sz="0" w:space="0" w:color="auto"/>
      </w:divBdr>
    </w:div>
    <w:div w:id="1528566570">
      <w:bodyDiv w:val="1"/>
      <w:marLeft w:val="0"/>
      <w:marRight w:val="0"/>
      <w:marTop w:val="0"/>
      <w:marBottom w:val="0"/>
      <w:divBdr>
        <w:top w:val="none" w:sz="0" w:space="0" w:color="auto"/>
        <w:left w:val="none" w:sz="0" w:space="0" w:color="auto"/>
        <w:bottom w:val="none" w:sz="0" w:space="0" w:color="auto"/>
        <w:right w:val="none" w:sz="0" w:space="0" w:color="auto"/>
      </w:divBdr>
      <w:divsChild>
        <w:div w:id="553665523">
          <w:marLeft w:val="0"/>
          <w:marRight w:val="0"/>
          <w:marTop w:val="60"/>
          <w:marBottom w:val="0"/>
          <w:divBdr>
            <w:top w:val="none" w:sz="0" w:space="0" w:color="auto"/>
            <w:left w:val="none" w:sz="0" w:space="0" w:color="auto"/>
            <w:bottom w:val="none" w:sz="0" w:space="0" w:color="auto"/>
            <w:right w:val="none" w:sz="0" w:space="0" w:color="auto"/>
          </w:divBdr>
        </w:div>
      </w:divsChild>
    </w:div>
    <w:div w:id="1572697341">
      <w:bodyDiv w:val="1"/>
      <w:marLeft w:val="0"/>
      <w:marRight w:val="0"/>
      <w:marTop w:val="0"/>
      <w:marBottom w:val="0"/>
      <w:divBdr>
        <w:top w:val="none" w:sz="0" w:space="0" w:color="auto"/>
        <w:left w:val="none" w:sz="0" w:space="0" w:color="auto"/>
        <w:bottom w:val="none" w:sz="0" w:space="0" w:color="auto"/>
        <w:right w:val="none" w:sz="0" w:space="0" w:color="auto"/>
      </w:divBdr>
    </w:div>
    <w:div w:id="1650748686">
      <w:bodyDiv w:val="1"/>
      <w:marLeft w:val="0"/>
      <w:marRight w:val="0"/>
      <w:marTop w:val="0"/>
      <w:marBottom w:val="0"/>
      <w:divBdr>
        <w:top w:val="none" w:sz="0" w:space="0" w:color="auto"/>
        <w:left w:val="none" w:sz="0" w:space="0" w:color="auto"/>
        <w:bottom w:val="none" w:sz="0" w:space="0" w:color="auto"/>
        <w:right w:val="none" w:sz="0" w:space="0" w:color="auto"/>
      </w:divBdr>
      <w:divsChild>
        <w:div w:id="1889798968">
          <w:marLeft w:val="0"/>
          <w:marRight w:val="0"/>
          <w:marTop w:val="0"/>
          <w:marBottom w:val="0"/>
          <w:divBdr>
            <w:top w:val="none" w:sz="0" w:space="0" w:color="auto"/>
            <w:left w:val="none" w:sz="0" w:space="0" w:color="auto"/>
            <w:bottom w:val="none" w:sz="0" w:space="0" w:color="auto"/>
            <w:right w:val="none" w:sz="0" w:space="0" w:color="auto"/>
          </w:divBdr>
        </w:div>
        <w:div w:id="2053310548">
          <w:marLeft w:val="0"/>
          <w:marRight w:val="0"/>
          <w:marTop w:val="0"/>
          <w:marBottom w:val="120"/>
          <w:divBdr>
            <w:top w:val="none" w:sz="0" w:space="0" w:color="auto"/>
            <w:left w:val="none" w:sz="0" w:space="0" w:color="auto"/>
            <w:bottom w:val="none" w:sz="0" w:space="0" w:color="auto"/>
            <w:right w:val="none" w:sz="0" w:space="0" w:color="auto"/>
          </w:divBdr>
        </w:div>
      </w:divsChild>
    </w:div>
    <w:div w:id="1669364318">
      <w:bodyDiv w:val="1"/>
      <w:marLeft w:val="0"/>
      <w:marRight w:val="0"/>
      <w:marTop w:val="0"/>
      <w:marBottom w:val="0"/>
      <w:divBdr>
        <w:top w:val="none" w:sz="0" w:space="0" w:color="auto"/>
        <w:left w:val="none" w:sz="0" w:space="0" w:color="auto"/>
        <w:bottom w:val="none" w:sz="0" w:space="0" w:color="auto"/>
        <w:right w:val="none" w:sz="0" w:space="0" w:color="auto"/>
      </w:divBdr>
      <w:divsChild>
        <w:div w:id="1914074632">
          <w:marLeft w:val="0"/>
          <w:marRight w:val="0"/>
          <w:marTop w:val="0"/>
          <w:marBottom w:val="0"/>
          <w:divBdr>
            <w:top w:val="none" w:sz="0" w:space="0" w:color="auto"/>
            <w:left w:val="none" w:sz="0" w:space="0" w:color="auto"/>
            <w:bottom w:val="none" w:sz="0" w:space="0" w:color="auto"/>
            <w:right w:val="none" w:sz="0" w:space="0" w:color="auto"/>
          </w:divBdr>
          <w:divsChild>
            <w:div w:id="269435394">
              <w:marLeft w:val="0"/>
              <w:marRight w:val="0"/>
              <w:marTop w:val="0"/>
              <w:marBottom w:val="0"/>
              <w:divBdr>
                <w:top w:val="none" w:sz="0" w:space="0" w:color="auto"/>
                <w:left w:val="none" w:sz="0" w:space="0" w:color="auto"/>
                <w:bottom w:val="none" w:sz="0" w:space="0" w:color="auto"/>
                <w:right w:val="none" w:sz="0" w:space="0" w:color="auto"/>
              </w:divBdr>
              <w:divsChild>
                <w:div w:id="206518196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70426010">
          <w:marLeft w:val="0"/>
          <w:marRight w:val="0"/>
          <w:marTop w:val="0"/>
          <w:marBottom w:val="0"/>
          <w:divBdr>
            <w:top w:val="none" w:sz="0" w:space="0" w:color="auto"/>
            <w:left w:val="none" w:sz="0" w:space="0" w:color="auto"/>
            <w:bottom w:val="none" w:sz="0" w:space="0" w:color="auto"/>
            <w:right w:val="none" w:sz="0" w:space="0" w:color="auto"/>
          </w:divBdr>
          <w:divsChild>
            <w:div w:id="1783257976">
              <w:marLeft w:val="0"/>
              <w:marRight w:val="0"/>
              <w:marTop w:val="0"/>
              <w:marBottom w:val="0"/>
              <w:divBdr>
                <w:top w:val="none" w:sz="0" w:space="0" w:color="auto"/>
                <w:left w:val="none" w:sz="0" w:space="0" w:color="auto"/>
                <w:bottom w:val="none" w:sz="0" w:space="0" w:color="auto"/>
                <w:right w:val="none" w:sz="0" w:space="0" w:color="auto"/>
              </w:divBdr>
              <w:divsChild>
                <w:div w:id="856040900">
                  <w:marLeft w:val="0"/>
                  <w:marRight w:val="0"/>
                  <w:marTop w:val="0"/>
                  <w:marBottom w:val="0"/>
                  <w:divBdr>
                    <w:top w:val="none" w:sz="0" w:space="0" w:color="auto"/>
                    <w:left w:val="none" w:sz="0" w:space="0" w:color="auto"/>
                    <w:bottom w:val="none" w:sz="0" w:space="0" w:color="auto"/>
                    <w:right w:val="none" w:sz="0" w:space="0" w:color="auto"/>
                  </w:divBdr>
                  <w:divsChild>
                    <w:div w:id="2047753592">
                      <w:marLeft w:val="0"/>
                      <w:marRight w:val="0"/>
                      <w:marTop w:val="0"/>
                      <w:marBottom w:val="0"/>
                      <w:divBdr>
                        <w:top w:val="none" w:sz="0" w:space="0" w:color="auto"/>
                        <w:left w:val="none" w:sz="0" w:space="0" w:color="auto"/>
                        <w:bottom w:val="none" w:sz="0" w:space="0" w:color="auto"/>
                        <w:right w:val="none" w:sz="0" w:space="0" w:color="auto"/>
                      </w:divBdr>
                      <w:divsChild>
                        <w:div w:id="22096995">
                          <w:marLeft w:val="0"/>
                          <w:marRight w:val="0"/>
                          <w:marTop w:val="0"/>
                          <w:marBottom w:val="0"/>
                          <w:divBdr>
                            <w:top w:val="none" w:sz="0" w:space="0" w:color="auto"/>
                            <w:left w:val="none" w:sz="0" w:space="0" w:color="auto"/>
                            <w:bottom w:val="none" w:sz="0" w:space="0" w:color="auto"/>
                            <w:right w:val="none" w:sz="0" w:space="0" w:color="auto"/>
                          </w:divBdr>
                          <w:divsChild>
                            <w:div w:id="8457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37684">
      <w:bodyDiv w:val="1"/>
      <w:marLeft w:val="0"/>
      <w:marRight w:val="0"/>
      <w:marTop w:val="0"/>
      <w:marBottom w:val="0"/>
      <w:divBdr>
        <w:top w:val="none" w:sz="0" w:space="0" w:color="auto"/>
        <w:left w:val="none" w:sz="0" w:space="0" w:color="auto"/>
        <w:bottom w:val="none" w:sz="0" w:space="0" w:color="auto"/>
        <w:right w:val="none" w:sz="0" w:space="0" w:color="auto"/>
      </w:divBdr>
      <w:divsChild>
        <w:div w:id="1648852414">
          <w:marLeft w:val="0"/>
          <w:marRight w:val="0"/>
          <w:marTop w:val="0"/>
          <w:marBottom w:val="0"/>
          <w:divBdr>
            <w:top w:val="none" w:sz="0" w:space="0" w:color="auto"/>
            <w:left w:val="none" w:sz="0" w:space="0" w:color="auto"/>
            <w:bottom w:val="none" w:sz="0" w:space="0" w:color="auto"/>
            <w:right w:val="none" w:sz="0" w:space="0" w:color="auto"/>
          </w:divBdr>
        </w:div>
        <w:div w:id="222714714">
          <w:marLeft w:val="0"/>
          <w:marRight w:val="0"/>
          <w:marTop w:val="0"/>
          <w:marBottom w:val="120"/>
          <w:divBdr>
            <w:top w:val="none" w:sz="0" w:space="0" w:color="auto"/>
            <w:left w:val="none" w:sz="0" w:space="0" w:color="auto"/>
            <w:bottom w:val="none" w:sz="0" w:space="0" w:color="auto"/>
            <w:right w:val="none" w:sz="0" w:space="0" w:color="auto"/>
          </w:divBdr>
        </w:div>
      </w:divsChild>
    </w:div>
    <w:div w:id="1818377163">
      <w:bodyDiv w:val="1"/>
      <w:marLeft w:val="0"/>
      <w:marRight w:val="0"/>
      <w:marTop w:val="0"/>
      <w:marBottom w:val="0"/>
      <w:divBdr>
        <w:top w:val="none" w:sz="0" w:space="0" w:color="auto"/>
        <w:left w:val="none" w:sz="0" w:space="0" w:color="auto"/>
        <w:bottom w:val="none" w:sz="0" w:space="0" w:color="auto"/>
        <w:right w:val="none" w:sz="0" w:space="0" w:color="auto"/>
      </w:divBdr>
    </w:div>
    <w:div w:id="1994217899">
      <w:bodyDiv w:val="1"/>
      <w:marLeft w:val="0"/>
      <w:marRight w:val="0"/>
      <w:marTop w:val="0"/>
      <w:marBottom w:val="0"/>
      <w:divBdr>
        <w:top w:val="none" w:sz="0" w:space="0" w:color="auto"/>
        <w:left w:val="none" w:sz="0" w:space="0" w:color="auto"/>
        <w:bottom w:val="none" w:sz="0" w:space="0" w:color="auto"/>
        <w:right w:val="none" w:sz="0" w:space="0" w:color="auto"/>
      </w:divBdr>
      <w:divsChild>
        <w:div w:id="1810780459">
          <w:marLeft w:val="0"/>
          <w:marRight w:val="0"/>
          <w:marTop w:val="0"/>
          <w:marBottom w:val="0"/>
          <w:divBdr>
            <w:top w:val="none" w:sz="0" w:space="0" w:color="auto"/>
            <w:left w:val="none" w:sz="0" w:space="0" w:color="auto"/>
            <w:bottom w:val="none" w:sz="0" w:space="0" w:color="auto"/>
            <w:right w:val="none" w:sz="0" w:space="0" w:color="auto"/>
          </w:divBdr>
        </w:div>
        <w:div w:id="107162613">
          <w:marLeft w:val="0"/>
          <w:marRight w:val="0"/>
          <w:marTop w:val="0"/>
          <w:marBottom w:val="120"/>
          <w:divBdr>
            <w:top w:val="none" w:sz="0" w:space="0" w:color="auto"/>
            <w:left w:val="none" w:sz="0" w:space="0" w:color="auto"/>
            <w:bottom w:val="none" w:sz="0" w:space="0" w:color="auto"/>
            <w:right w:val="none" w:sz="0" w:space="0" w:color="auto"/>
          </w:divBdr>
        </w:div>
      </w:divsChild>
    </w:div>
    <w:div w:id="2006591465">
      <w:bodyDiv w:val="1"/>
      <w:marLeft w:val="0"/>
      <w:marRight w:val="0"/>
      <w:marTop w:val="0"/>
      <w:marBottom w:val="0"/>
      <w:divBdr>
        <w:top w:val="none" w:sz="0" w:space="0" w:color="auto"/>
        <w:left w:val="none" w:sz="0" w:space="0" w:color="auto"/>
        <w:bottom w:val="none" w:sz="0" w:space="0" w:color="auto"/>
        <w:right w:val="none" w:sz="0" w:space="0" w:color="auto"/>
      </w:divBdr>
      <w:divsChild>
        <w:div w:id="1504934904">
          <w:marLeft w:val="0"/>
          <w:marRight w:val="0"/>
          <w:marTop w:val="0"/>
          <w:marBottom w:val="0"/>
          <w:divBdr>
            <w:top w:val="none" w:sz="0" w:space="0" w:color="auto"/>
            <w:left w:val="none" w:sz="0" w:space="0" w:color="auto"/>
            <w:bottom w:val="none" w:sz="0" w:space="0" w:color="auto"/>
            <w:right w:val="none" w:sz="0" w:space="0" w:color="auto"/>
          </w:divBdr>
        </w:div>
        <w:div w:id="1949466360">
          <w:marLeft w:val="0"/>
          <w:marRight w:val="0"/>
          <w:marTop w:val="0"/>
          <w:marBottom w:val="0"/>
          <w:divBdr>
            <w:top w:val="none" w:sz="0" w:space="0" w:color="auto"/>
            <w:left w:val="none" w:sz="0" w:space="0" w:color="auto"/>
            <w:bottom w:val="none" w:sz="0" w:space="0" w:color="auto"/>
            <w:right w:val="none" w:sz="0" w:space="0" w:color="auto"/>
          </w:divBdr>
        </w:div>
      </w:divsChild>
    </w:div>
    <w:div w:id="2034258562">
      <w:bodyDiv w:val="1"/>
      <w:marLeft w:val="0"/>
      <w:marRight w:val="0"/>
      <w:marTop w:val="0"/>
      <w:marBottom w:val="0"/>
      <w:divBdr>
        <w:top w:val="none" w:sz="0" w:space="0" w:color="auto"/>
        <w:left w:val="none" w:sz="0" w:space="0" w:color="auto"/>
        <w:bottom w:val="none" w:sz="0" w:space="0" w:color="auto"/>
        <w:right w:val="none" w:sz="0" w:space="0" w:color="auto"/>
      </w:divBdr>
    </w:div>
    <w:div w:id="214160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tc-cta.gc.ca/fra/decision/let-at-a-21-20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tc-cta.gc.ca/fra/decision/let-at-a-20-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fra/reglements/DORS-2019-244/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tc-cta.gc.ca/fra" TargetMode="External"/><Relationship Id="rId4" Type="http://schemas.openxmlformats.org/officeDocument/2006/relationships/settings" Target="settings.xml"/><Relationship Id="rId9" Type="http://schemas.openxmlformats.org/officeDocument/2006/relationships/hyperlink" Target="mailto:info@otc-cta.gc.ca" TargetMode="External"/><Relationship Id="rId14" Type="http://schemas.openxmlformats.org/officeDocument/2006/relationships/hyperlink" Target="https://otc-cta.gc.ca/fra/consultation/consultation-demande-exemption-conditionnelle-acsta-asfc-rta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60EF4-72D6-4E99-BEE9-C9AB08CA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2300</Words>
  <Characters>13115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Rencontre de consultation sur les demandes présentées par l’ACSTA et l’ASFC pour une exemption conditionnelle aux exigences visant la signalisation tactile prévues dans le RTAPH : ce que nous avons entendu</vt:lpstr>
      <vt:lpstr/>
    </vt:vector>
  </TitlesOfParts>
  <Company>OTC - CTA</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Rencontre de consultation sur les demandes présentées par l’ACSTA et l’ASFC pour une exemption conditionnelle aux exigences visant la signalisation tactile prévues dans le RTAPH : ce que nous avons entendu</dc:title>
  <dc:subject/>
  <dc:creator>Office des transports du Canada</dc:creator>
  <cp:keywords/>
  <dc:description/>
  <cp:lastModifiedBy>Ramona Moore</cp:lastModifiedBy>
  <cp:revision>12</cp:revision>
  <cp:lastPrinted>2023-12-11T13:52:00Z</cp:lastPrinted>
  <dcterms:created xsi:type="dcterms:W3CDTF">2024-07-12T20:14:00Z</dcterms:created>
  <dcterms:modified xsi:type="dcterms:W3CDTF">2024-08-08T14:52:00Z</dcterms:modified>
</cp:coreProperties>
</file>